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69781813"/>
        <w:docPartObj>
          <w:docPartGallery w:val="Cover Pages"/>
          <w:docPartUnique/>
        </w:docPartObj>
      </w:sdtPr>
      <w:sdtEndPr/>
      <w:sdtContent>
        <w:tbl>
          <w:tblPr>
            <w:tblpPr w:leftFromText="187" w:rightFromText="187" w:vertAnchor="page" w:horzAnchor="page" w:tblpYSpec="top"/>
            <w:tblW w:w="0" w:type="auto"/>
            <w:tblLook w:val="04A0" w:firstRow="1" w:lastRow="0" w:firstColumn="1" w:lastColumn="0" w:noHBand="0" w:noVBand="1"/>
          </w:tblPr>
          <w:tblGrid>
            <w:gridCol w:w="1970"/>
            <w:gridCol w:w="3447"/>
          </w:tblGrid>
          <w:tr w:rsidR="004B790D" w:rsidTr="00697716">
            <w:trPr>
              <w:trHeight w:val="1408"/>
            </w:trPr>
            <w:tc>
              <w:tcPr>
                <w:tcW w:w="1970" w:type="dxa"/>
                <w:tcBorders>
                  <w:right w:val="single" w:sz="4" w:space="0" w:color="FFFFFF" w:themeColor="background1"/>
                </w:tcBorders>
                <w:shd w:val="clear" w:color="auto" w:fill="943634" w:themeFill="accent2" w:themeFillShade="BF"/>
              </w:tcPr>
              <w:p w:rsidR="004B790D" w:rsidRDefault="004B790D"/>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fullDate="2016-02-15T00:00:00Z">
                  <w:dateFormat w:val="yyyy"/>
                  <w:lid w:val="en-US"/>
                  <w:storeMappedDataAs w:val="dateTime"/>
                  <w:calendar w:val="gregorian"/>
                </w:date>
              </w:sdtPr>
              <w:sdtEndPr/>
              <w:sdtContent>
                <w:tc>
                  <w:tcPr>
                    <w:tcW w:w="3447" w:type="dxa"/>
                    <w:tcBorders>
                      <w:left w:val="single" w:sz="4" w:space="0" w:color="FFFFFF" w:themeColor="background1"/>
                    </w:tcBorders>
                    <w:shd w:val="clear" w:color="auto" w:fill="943634" w:themeFill="accent2" w:themeFillShade="BF"/>
                    <w:vAlign w:val="bottom"/>
                  </w:tcPr>
                  <w:p w:rsidR="004B790D" w:rsidRDefault="004B790D">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2016</w:t>
                    </w:r>
                  </w:p>
                </w:tc>
              </w:sdtContent>
            </w:sdt>
          </w:tr>
          <w:tr w:rsidR="004B790D" w:rsidTr="00697716">
            <w:trPr>
              <w:trHeight w:val="2816"/>
            </w:trPr>
            <w:tc>
              <w:tcPr>
                <w:tcW w:w="1970" w:type="dxa"/>
                <w:tcBorders>
                  <w:right w:val="single" w:sz="4" w:space="0" w:color="000000" w:themeColor="text1"/>
                </w:tcBorders>
              </w:tcPr>
              <w:p w:rsidR="004B790D" w:rsidRDefault="004B790D"/>
            </w:tc>
            <w:tc>
              <w:tcPr>
                <w:tcW w:w="3447" w:type="dxa"/>
                <w:tcBorders>
                  <w:left w:val="single" w:sz="4" w:space="0" w:color="000000" w:themeColor="text1"/>
                </w:tcBorders>
                <w:vAlign w:val="center"/>
              </w:tcPr>
              <w:sdt>
                <w:sdtPr>
                  <w:rPr>
                    <w:b/>
                    <w:color w:val="943634" w:themeColor="accent2" w:themeShade="BF"/>
                    <w:sz w:val="36"/>
                  </w:rPr>
                  <w:alias w:val="Company"/>
                  <w:id w:val="15676123"/>
                  <w:dataBinding w:prefixMappings="xmlns:ns0='http://schemas.openxmlformats.org/officeDocument/2006/extended-properties'" w:xpath="/ns0:Properties[1]/ns0:Company[1]" w:storeItemID="{6668398D-A668-4E3E-A5EB-62B293D839F1}"/>
                  <w:text/>
                </w:sdtPr>
                <w:sdtEndPr/>
                <w:sdtContent>
                  <w:p w:rsidR="004B790D" w:rsidRPr="009D4A8C" w:rsidRDefault="004B790D">
                    <w:pPr>
                      <w:pStyle w:val="NoSpacing"/>
                      <w:rPr>
                        <w:color w:val="943634" w:themeColor="accent2" w:themeShade="BF"/>
                        <w:sz w:val="36"/>
                      </w:rPr>
                    </w:pPr>
                    <w:r w:rsidRPr="009D4A8C">
                      <w:rPr>
                        <w:b/>
                        <w:color w:val="943634" w:themeColor="accent2" w:themeShade="BF"/>
                        <w:sz w:val="36"/>
                      </w:rPr>
                      <w:t>NHSRC</w:t>
                    </w:r>
                  </w:p>
                </w:sdtContent>
              </w:sdt>
              <w:p w:rsidR="004B790D" w:rsidRPr="00697716" w:rsidRDefault="004B790D">
                <w:pPr>
                  <w:pStyle w:val="NoSpacing"/>
                  <w:rPr>
                    <w:color w:val="76923C" w:themeColor="accent3" w:themeShade="BF"/>
                    <w:sz w:val="36"/>
                  </w:rPr>
                </w:pPr>
              </w:p>
              <w:p w:rsidR="004B790D" w:rsidRPr="00697716" w:rsidRDefault="004B790D" w:rsidP="00FE1FB0">
                <w:pPr>
                  <w:pStyle w:val="NoSpacing"/>
                  <w:rPr>
                    <w:color w:val="76923C" w:themeColor="accent3" w:themeShade="BF"/>
                    <w:sz w:val="36"/>
                  </w:rPr>
                </w:pPr>
              </w:p>
            </w:tc>
          </w:tr>
        </w:tbl>
        <w:p w:rsidR="004B790D" w:rsidRDefault="004B790D"/>
        <w:p w:rsidR="004B790D" w:rsidRDefault="004B790D"/>
        <w:tbl>
          <w:tblPr>
            <w:tblpPr w:leftFromText="187" w:rightFromText="187" w:horzAnchor="margin" w:tblpXSpec="center" w:tblpYSpec="bottom"/>
            <w:tblW w:w="5000" w:type="pct"/>
            <w:tblLook w:val="04A0" w:firstRow="1" w:lastRow="0" w:firstColumn="1" w:lastColumn="0" w:noHBand="0" w:noVBand="1"/>
          </w:tblPr>
          <w:tblGrid>
            <w:gridCol w:w="9963"/>
          </w:tblGrid>
          <w:tr w:rsidR="004B790D" w:rsidRPr="004B790D">
            <w:tc>
              <w:tcPr>
                <w:tcW w:w="0" w:type="auto"/>
              </w:tcPr>
              <w:p w:rsidR="004B790D" w:rsidRPr="004B790D" w:rsidRDefault="004B790D" w:rsidP="004B790D">
                <w:pPr>
                  <w:pStyle w:val="NoSpacing"/>
                  <w:rPr>
                    <w:b/>
                    <w:bCs/>
                    <w:caps/>
                    <w:color w:val="943634" w:themeColor="accent2" w:themeShade="BF"/>
                    <w:sz w:val="72"/>
                    <w:szCs w:val="72"/>
                  </w:rPr>
                </w:pPr>
                <w:r w:rsidRPr="004B790D">
                  <w:rPr>
                    <w:b/>
                    <w:bCs/>
                    <w:caps/>
                    <w:color w:val="943634" w:themeColor="accent2" w:themeShade="BF"/>
                    <w:sz w:val="72"/>
                    <w:szCs w:val="72"/>
                  </w:rPr>
                  <w:t>[</w:t>
                </w:r>
                <w:sdt>
                  <w:sdtPr>
                    <w:rPr>
                      <w:b/>
                      <w:bCs/>
                      <w:caps/>
                      <w:color w:val="943634" w:themeColor="accent2" w:themeShade="BF"/>
                      <w:sz w:val="96"/>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Pr="004B790D">
                      <w:rPr>
                        <w:b/>
                        <w:bCs/>
                        <w:caps/>
                        <w:color w:val="943634" w:themeColor="accent2" w:themeShade="BF"/>
                        <w:sz w:val="96"/>
                        <w:szCs w:val="72"/>
                      </w:rPr>
                      <w:t>NFHS IV</w:t>
                    </w:r>
                  </w:sdtContent>
                </w:sdt>
                <w:r w:rsidRPr="004B790D">
                  <w:rPr>
                    <w:b/>
                    <w:bCs/>
                    <w:caps/>
                    <w:color w:val="943634" w:themeColor="accent2" w:themeShade="BF"/>
                    <w:sz w:val="72"/>
                    <w:szCs w:val="72"/>
                  </w:rPr>
                  <w:t>]</w:t>
                </w:r>
              </w:p>
            </w:tc>
          </w:tr>
          <w:tr w:rsidR="004B790D" w:rsidRPr="004B790D">
            <w:sdt>
              <w:sdtPr>
                <w:rPr>
                  <w:b/>
                  <w:color w:val="943634" w:themeColor="accent2" w:themeShade="BF"/>
                  <w:sz w:val="40"/>
                </w:rPr>
                <w:alias w:val="Abstract"/>
                <w:id w:val="15676143"/>
                <w:dataBinding w:prefixMappings="xmlns:ns0='http://schemas.microsoft.com/office/2006/coverPageProps'" w:xpath="/ns0:CoverPageProperties[1]/ns0:Abstract[1]" w:storeItemID="{55AF091B-3C7A-41E3-B477-F2FDAA23CFDA}"/>
                <w:text/>
              </w:sdtPr>
              <w:sdtEndPr/>
              <w:sdtContent>
                <w:tc>
                  <w:tcPr>
                    <w:tcW w:w="0" w:type="auto"/>
                  </w:tcPr>
                  <w:p w:rsidR="004B790D" w:rsidRPr="004B790D" w:rsidRDefault="004B790D" w:rsidP="00811EFD">
                    <w:pPr>
                      <w:pStyle w:val="NoSpacing"/>
                      <w:jc w:val="center"/>
                      <w:rPr>
                        <w:color w:val="943634" w:themeColor="accent2" w:themeShade="BF"/>
                      </w:rPr>
                    </w:pPr>
                    <w:r w:rsidRPr="004B790D">
                      <w:rPr>
                        <w:b/>
                        <w:color w:val="943634" w:themeColor="accent2" w:themeShade="BF"/>
                        <w:sz w:val="40"/>
                      </w:rPr>
                      <w:t xml:space="preserve">Analysis – High Focus </w:t>
                    </w:r>
                    <w:r w:rsidR="00811EFD">
                      <w:rPr>
                        <w:b/>
                        <w:color w:val="943634" w:themeColor="accent2" w:themeShade="BF"/>
                        <w:sz w:val="40"/>
                      </w:rPr>
                      <w:t>S</w:t>
                    </w:r>
                    <w:r w:rsidRPr="004B790D">
                      <w:rPr>
                        <w:b/>
                        <w:color w:val="943634" w:themeColor="accent2" w:themeShade="BF"/>
                        <w:sz w:val="40"/>
                      </w:rPr>
                      <w:t xml:space="preserve">tates ( </w:t>
                    </w:r>
                    <w:r w:rsidR="00811EFD">
                      <w:rPr>
                        <w:b/>
                        <w:color w:val="943634" w:themeColor="accent2" w:themeShade="BF"/>
                        <w:sz w:val="40"/>
                      </w:rPr>
                      <w:t>Bihar, Madhya Pradesh &amp; Uttarakhand</w:t>
                    </w:r>
                    <w:r w:rsidRPr="004B790D">
                      <w:rPr>
                        <w:b/>
                        <w:color w:val="943634" w:themeColor="accent2" w:themeShade="BF"/>
                        <w:sz w:val="40"/>
                      </w:rPr>
                      <w:t xml:space="preserve"> )</w:t>
                    </w:r>
                  </w:p>
                </w:tc>
              </w:sdtContent>
            </w:sdt>
          </w:tr>
        </w:tbl>
        <w:p w:rsidR="004B790D" w:rsidRPr="004B790D" w:rsidRDefault="004B790D">
          <w:pPr>
            <w:rPr>
              <w:color w:val="943634" w:themeColor="accent2" w:themeShade="BF"/>
            </w:rPr>
          </w:pPr>
        </w:p>
        <w:p w:rsidR="004B790D" w:rsidRDefault="004B790D">
          <w:r>
            <w:br w:type="page"/>
          </w:r>
        </w:p>
        <w:bookmarkStart w:id="0" w:name="_GoBack" w:displacedByCustomXml="next"/>
        <w:bookmarkEnd w:id="0" w:displacedByCustomXml="next"/>
      </w:sdtContent>
    </w:sdt>
    <w:p w:rsidR="00C1690C" w:rsidRDefault="007F7026" w:rsidP="007B2B05">
      <w:pPr>
        <w:jc w:val="both"/>
      </w:pPr>
      <w:r>
        <w:lastRenderedPageBreak/>
        <w:t xml:space="preserve">The National Family </w:t>
      </w:r>
      <w:r w:rsidR="003670D0">
        <w:t xml:space="preserve">Health </w:t>
      </w:r>
      <w:r>
        <w:t xml:space="preserve">Survey 2015-16 </w:t>
      </w:r>
      <w:r w:rsidR="00E60263">
        <w:t>(NFHS</w:t>
      </w:r>
      <w:r w:rsidR="003670D0">
        <w:t xml:space="preserve"> </w:t>
      </w:r>
      <w:r w:rsidR="00E60263">
        <w:t>IV)</w:t>
      </w:r>
      <w:r>
        <w:t xml:space="preserve"> has released data for 1</w:t>
      </w:r>
      <w:r w:rsidR="003670D0">
        <w:t>7</w:t>
      </w:r>
      <w:r>
        <w:t xml:space="preserve"> states and its districts in the first phase</w:t>
      </w:r>
      <w:r w:rsidR="003670D0">
        <w:t>.</w:t>
      </w:r>
    </w:p>
    <w:p w:rsidR="00E60263" w:rsidRDefault="003464D2" w:rsidP="007B2B05">
      <w:pPr>
        <w:jc w:val="both"/>
      </w:pPr>
      <w:r>
        <w:t>This report compares</w:t>
      </w:r>
      <w:r w:rsidR="007F7026">
        <w:t xml:space="preserve"> NFHS IV with NFHS III on 2</w:t>
      </w:r>
      <w:r>
        <w:t>1</w:t>
      </w:r>
      <w:r w:rsidR="007F7026">
        <w:t xml:space="preserve"> indicators and </w:t>
      </w:r>
      <w:r>
        <w:t xml:space="preserve">provides </w:t>
      </w:r>
      <w:r w:rsidR="007F7026">
        <w:t xml:space="preserve">analysis of </w:t>
      </w:r>
      <w:r w:rsidR="00E60263">
        <w:t xml:space="preserve">6 </w:t>
      </w:r>
      <w:r w:rsidR="007F7026">
        <w:t xml:space="preserve">such indicators which NFHS IV has surveyed for the first time. </w:t>
      </w:r>
      <w:r>
        <w:t>For s</w:t>
      </w:r>
      <w:r w:rsidR="00A66E22">
        <w:t>ome indicators</w:t>
      </w:r>
      <w:r>
        <w:t>, figures from</w:t>
      </w:r>
      <w:r w:rsidR="00A66E22">
        <w:t xml:space="preserve"> </w:t>
      </w:r>
      <w:r>
        <w:t xml:space="preserve">other </w:t>
      </w:r>
      <w:r w:rsidR="00A66E22">
        <w:t>sources are also referred</w:t>
      </w:r>
      <w:r w:rsidR="006F51EF">
        <w:t xml:space="preserve"> in the report</w:t>
      </w:r>
      <w:r>
        <w:t>.</w:t>
      </w:r>
      <w:r w:rsidR="00111ED5">
        <w:t xml:space="preserve"> </w:t>
      </w:r>
      <w:r w:rsidR="007F7026">
        <w:t>NFHS III is not available for some of the states, namely, Andaman &amp; Nicobar Island,</w:t>
      </w:r>
      <w:r w:rsidR="00E60263">
        <w:t xml:space="preserve"> Andhra Pradesh,</w:t>
      </w:r>
      <w:r w:rsidR="007F7026">
        <w:t xml:space="preserve"> Puduch</w:t>
      </w:r>
      <w:r w:rsidR="00E60263">
        <w:t xml:space="preserve">erry and Telangana. </w:t>
      </w:r>
    </w:p>
    <w:p w:rsidR="007F7026" w:rsidRDefault="007F7026" w:rsidP="007B2B05">
      <w:pPr>
        <w:jc w:val="both"/>
      </w:pPr>
      <w:r>
        <w:t xml:space="preserve">The states are divided into three </w:t>
      </w:r>
      <w:r w:rsidR="00E60263">
        <w:t>categories:-</w:t>
      </w:r>
    </w:p>
    <w:p w:rsidR="00E60263" w:rsidRDefault="00E60263" w:rsidP="007B2B05">
      <w:pPr>
        <w:pStyle w:val="ListParagraph"/>
        <w:numPr>
          <w:ilvl w:val="0"/>
          <w:numId w:val="1"/>
        </w:numPr>
        <w:jc w:val="both"/>
      </w:pPr>
      <w:r>
        <w:t>Small states</w:t>
      </w:r>
      <w:r w:rsidR="00EA559B">
        <w:t>&amp; UTs</w:t>
      </w:r>
      <w:r>
        <w:t xml:space="preserve"> – Andaman &amp; Nicobar, Goa, </w:t>
      </w:r>
      <w:proofErr w:type="spellStart"/>
      <w:r>
        <w:t>Meghalaya,</w:t>
      </w:r>
      <w:r w:rsidR="003464D2">
        <w:t>Manipur</w:t>
      </w:r>
      <w:proofErr w:type="spellEnd"/>
      <w:r w:rsidR="003464D2">
        <w:t>,</w:t>
      </w:r>
      <w:r>
        <w:t xml:space="preserve"> Puducherry, Sikkim and Tripura</w:t>
      </w:r>
    </w:p>
    <w:p w:rsidR="00E60263" w:rsidRDefault="00E60263" w:rsidP="007B2B05">
      <w:pPr>
        <w:pStyle w:val="ListParagraph"/>
        <w:numPr>
          <w:ilvl w:val="0"/>
          <w:numId w:val="1"/>
        </w:numPr>
        <w:jc w:val="both"/>
      </w:pPr>
      <w:r>
        <w:t>High Focus States – Bihar, Madhya Pradesh and Uttarakhand</w:t>
      </w:r>
    </w:p>
    <w:p w:rsidR="00E60263" w:rsidRDefault="00E60263" w:rsidP="007B2B05">
      <w:pPr>
        <w:pStyle w:val="ListParagraph"/>
        <w:numPr>
          <w:ilvl w:val="0"/>
          <w:numId w:val="1"/>
        </w:numPr>
        <w:jc w:val="both"/>
      </w:pPr>
      <w:r>
        <w:t>Non High Focus Large States – Andhra Pradesh, Haryana, Karnataka,</w:t>
      </w:r>
      <w:r w:rsidR="003464D2">
        <w:t xml:space="preserve"> Maharashtra,</w:t>
      </w:r>
      <w:r>
        <w:t xml:space="preserve"> Tamil Nadu, Telangana  and West </w:t>
      </w:r>
      <w:r w:rsidR="00022533">
        <w:t>Bengal</w:t>
      </w:r>
    </w:p>
    <w:p w:rsidR="00E60263" w:rsidRDefault="00E60263" w:rsidP="007C6D22">
      <w:pPr>
        <w:jc w:val="both"/>
      </w:pPr>
      <w:r>
        <w:t>This report is related to High Focus States.</w:t>
      </w:r>
    </w:p>
    <w:p w:rsidR="00E60263" w:rsidRDefault="00E60263" w:rsidP="007B2B05">
      <w:pPr>
        <w:ind w:left="360"/>
        <w:jc w:val="both"/>
        <w:rPr>
          <w:u w:val="single"/>
        </w:rPr>
      </w:pPr>
      <w:r w:rsidRPr="00E60263">
        <w:rPr>
          <w:b/>
          <w:sz w:val="28"/>
          <w:u w:val="single"/>
        </w:rPr>
        <w:t>Indicators</w:t>
      </w:r>
    </w:p>
    <w:p w:rsidR="00623689" w:rsidRPr="00623689" w:rsidRDefault="00623689" w:rsidP="00623689">
      <w:pPr>
        <w:pStyle w:val="ListParagraph"/>
        <w:numPr>
          <w:ilvl w:val="0"/>
          <w:numId w:val="2"/>
        </w:numPr>
        <w:jc w:val="both"/>
        <w:rPr>
          <w:b/>
        </w:rPr>
      </w:pPr>
      <w:r w:rsidRPr="00623689">
        <w:rPr>
          <w:b/>
          <w:bCs/>
        </w:rPr>
        <w:t xml:space="preserve">Household with any usual member covered by health scheme or Health Insurance </w:t>
      </w:r>
      <w:proofErr w:type="gramStart"/>
      <w:r w:rsidRPr="00623689">
        <w:rPr>
          <w:b/>
          <w:bCs/>
        </w:rPr>
        <w:t>( %</w:t>
      </w:r>
      <w:proofErr w:type="gramEnd"/>
      <w:r w:rsidRPr="00623689">
        <w:rPr>
          <w:b/>
          <w:bCs/>
        </w:rPr>
        <w:t xml:space="preserve"> )</w:t>
      </w:r>
      <w:r>
        <w:rPr>
          <w:b/>
          <w:bCs/>
        </w:rPr>
        <w:t xml:space="preserve"> ( Graph 1): </w:t>
      </w:r>
      <w:r>
        <w:rPr>
          <w:bCs/>
        </w:rPr>
        <w:t xml:space="preserve">In Bihar 12.3% ( NFHS 4) households are covered by Health scheme or health insurance. It was 0.9% as per NFHS III. Madhya Pradesh has gone up from 4.8% </w:t>
      </w:r>
      <w:r w:rsidR="00276FC4">
        <w:rPr>
          <w:bCs/>
        </w:rPr>
        <w:t>(NFHSIII</w:t>
      </w:r>
      <w:r>
        <w:rPr>
          <w:bCs/>
        </w:rPr>
        <w:t>)  to 17.7% ( NFHS IV)</w:t>
      </w:r>
      <w:r w:rsidR="00276FC4">
        <w:rPr>
          <w:bCs/>
        </w:rPr>
        <w:t xml:space="preserve"> and Uttarakhand has gone up from 6.6% ( NFHS III) to 19.5% ( NFHS IV)</w:t>
      </w:r>
    </w:p>
    <w:p w:rsidR="00623689" w:rsidRDefault="00623689" w:rsidP="00623689">
      <w:pPr>
        <w:pStyle w:val="ListParagraph"/>
        <w:jc w:val="both"/>
        <w:rPr>
          <w:b/>
        </w:rPr>
      </w:pPr>
    </w:p>
    <w:p w:rsidR="00E60263" w:rsidRPr="00EA313A" w:rsidRDefault="00E60263" w:rsidP="007B2B05">
      <w:pPr>
        <w:pStyle w:val="ListParagraph"/>
        <w:numPr>
          <w:ilvl w:val="0"/>
          <w:numId w:val="2"/>
        </w:numPr>
        <w:jc w:val="both"/>
        <w:rPr>
          <w:b/>
        </w:rPr>
      </w:pPr>
      <w:r>
        <w:rPr>
          <w:b/>
        </w:rPr>
        <w:t xml:space="preserve">Total Fertility Rate </w:t>
      </w:r>
      <w:r w:rsidR="00BF7973">
        <w:rPr>
          <w:b/>
        </w:rPr>
        <w:t>(TFR)</w:t>
      </w:r>
      <w:r w:rsidR="00B2271B" w:rsidRPr="00B2271B">
        <w:rPr>
          <w:b/>
          <w:bCs/>
        </w:rPr>
        <w:t xml:space="preserve"> </w:t>
      </w:r>
      <w:proofErr w:type="gramStart"/>
      <w:r w:rsidR="00B2271B">
        <w:rPr>
          <w:b/>
          <w:bCs/>
        </w:rPr>
        <w:t>( Graph</w:t>
      </w:r>
      <w:proofErr w:type="gramEnd"/>
      <w:r w:rsidR="00B2271B">
        <w:rPr>
          <w:b/>
          <w:bCs/>
        </w:rPr>
        <w:t xml:space="preserve"> </w:t>
      </w:r>
      <w:r w:rsidR="00B2271B">
        <w:rPr>
          <w:b/>
          <w:bCs/>
        </w:rPr>
        <w:t>2</w:t>
      </w:r>
      <w:r w:rsidR="00B2271B">
        <w:rPr>
          <w:b/>
          <w:bCs/>
        </w:rPr>
        <w:t xml:space="preserve">): </w:t>
      </w:r>
      <w:r>
        <w:rPr>
          <w:b/>
        </w:rPr>
        <w:t xml:space="preserve"> :</w:t>
      </w:r>
      <w:r w:rsidR="003C650E">
        <w:rPr>
          <w:b/>
        </w:rPr>
        <w:t xml:space="preserve"> </w:t>
      </w:r>
      <w:r w:rsidR="00BF7973">
        <w:t>All the three high focus states have shown decline from NFHS III to NFHS IV. Maximum decline of 8 points is for Madhya Pradesh</w:t>
      </w:r>
      <w:r w:rsidR="00111ED5">
        <w:t>, from 3.1</w:t>
      </w:r>
      <w:r w:rsidR="00EA313A">
        <w:t xml:space="preserve"> (NFHS III)</w:t>
      </w:r>
      <w:r w:rsidR="00111ED5">
        <w:t xml:space="preserve"> to 2.3</w:t>
      </w:r>
      <w:r w:rsidR="001138CB">
        <w:t xml:space="preserve"> (NFHS IV)</w:t>
      </w:r>
      <w:r w:rsidR="00BF7973">
        <w:t xml:space="preserve">. </w:t>
      </w:r>
      <w:r w:rsidR="00146207">
        <w:t xml:space="preserve">As per AHS 2013, </w:t>
      </w:r>
      <w:r w:rsidR="006F51EF">
        <w:t>TFR</w:t>
      </w:r>
      <w:r w:rsidR="00146207">
        <w:t xml:space="preserve"> </w:t>
      </w:r>
      <w:r w:rsidR="006F51EF">
        <w:t xml:space="preserve">of MP </w:t>
      </w:r>
      <w:r w:rsidR="00146207">
        <w:t>is 3.0</w:t>
      </w:r>
      <w:r w:rsidR="00B95B28">
        <w:t xml:space="preserve"> and as per</w:t>
      </w:r>
      <w:r w:rsidR="00B95B28" w:rsidRPr="00B95B28">
        <w:rPr>
          <w:rFonts w:ascii="Calibri" w:eastAsia="Times New Roman" w:hAnsi="Calibri" w:cs="Times New Roman"/>
          <w:bCs/>
          <w:color w:val="000000"/>
        </w:rPr>
        <w:t xml:space="preserve"> Statistical</w:t>
      </w:r>
      <w:r w:rsidR="00B95B28" w:rsidRPr="00146207">
        <w:rPr>
          <w:rFonts w:ascii="Calibri" w:eastAsia="Times New Roman" w:hAnsi="Calibri" w:cs="Times New Roman"/>
          <w:bCs/>
          <w:color w:val="000000"/>
        </w:rPr>
        <w:t xml:space="preserve"> Report (RGI) 2013</w:t>
      </w:r>
      <w:r w:rsidR="006F51EF">
        <w:rPr>
          <w:rFonts w:ascii="Calibri" w:eastAsia="Times New Roman" w:hAnsi="Calibri" w:cs="Times New Roman"/>
          <w:bCs/>
          <w:color w:val="000000"/>
        </w:rPr>
        <w:t>, it is 2.9</w:t>
      </w:r>
      <w:r w:rsidR="00B95B28">
        <w:t xml:space="preserve">. </w:t>
      </w:r>
      <w:r w:rsidR="00BF7973">
        <w:t xml:space="preserve">In Bihar, there has been a decline of 6 </w:t>
      </w:r>
      <w:r w:rsidR="00B95B28">
        <w:t>points,</w:t>
      </w:r>
      <w:r w:rsidR="00BF7973">
        <w:t xml:space="preserve"> </w:t>
      </w:r>
      <w:r w:rsidR="003C650E">
        <w:t>from 4.0</w:t>
      </w:r>
      <w:r w:rsidR="00EA313A">
        <w:t xml:space="preserve"> (NFHS III)</w:t>
      </w:r>
      <w:r w:rsidR="003C650E">
        <w:t xml:space="preserve"> to 3.4 (NFHS IV). I</w:t>
      </w:r>
      <w:r w:rsidR="00146207">
        <w:t xml:space="preserve">t is </w:t>
      </w:r>
      <w:r w:rsidR="00B95B28">
        <w:t xml:space="preserve">3.5 as per AHS 2013 and 3.4 as per </w:t>
      </w:r>
      <w:r w:rsidR="00B95B28" w:rsidRPr="00B95B28">
        <w:rPr>
          <w:rFonts w:ascii="Calibri" w:eastAsia="Times New Roman" w:hAnsi="Calibri" w:cs="Times New Roman"/>
          <w:bCs/>
          <w:color w:val="000000"/>
        </w:rPr>
        <w:t>Statistical</w:t>
      </w:r>
      <w:r w:rsidR="00B95B28" w:rsidRPr="00146207">
        <w:rPr>
          <w:rFonts w:ascii="Calibri" w:eastAsia="Times New Roman" w:hAnsi="Calibri" w:cs="Times New Roman"/>
          <w:bCs/>
          <w:color w:val="000000"/>
        </w:rPr>
        <w:t xml:space="preserve"> Report (RGI) 2013</w:t>
      </w:r>
      <w:r w:rsidR="00111ED5">
        <w:t xml:space="preserve">. </w:t>
      </w:r>
      <w:r w:rsidR="003C650E">
        <w:t xml:space="preserve">In </w:t>
      </w:r>
      <w:r w:rsidR="00111ED5">
        <w:t>Uttarakhand</w:t>
      </w:r>
      <w:r w:rsidR="003C650E">
        <w:t xml:space="preserve">, TFR has come down from 2.6 </w:t>
      </w:r>
      <w:r w:rsidR="00EA313A">
        <w:t xml:space="preserve">(NFHS III) </w:t>
      </w:r>
      <w:r w:rsidR="003C650E">
        <w:t>to</w:t>
      </w:r>
      <w:r w:rsidR="00111ED5">
        <w:t xml:space="preserve"> 2.1 </w:t>
      </w:r>
      <w:r w:rsidR="00B95B28">
        <w:t>(NFHS</w:t>
      </w:r>
      <w:r w:rsidR="00111ED5">
        <w:t xml:space="preserve"> IV).</w:t>
      </w:r>
      <w:r w:rsidR="00B95B28">
        <w:t xml:space="preserve"> It is 2.1 </w:t>
      </w:r>
      <w:r w:rsidR="001138CB">
        <w:t xml:space="preserve">as </w:t>
      </w:r>
      <w:r w:rsidR="00B95B28">
        <w:t xml:space="preserve">per AHS 2013 and </w:t>
      </w:r>
      <w:r w:rsidR="00B95B28" w:rsidRPr="00B95B28">
        <w:rPr>
          <w:rFonts w:ascii="Calibri" w:eastAsia="Times New Roman" w:hAnsi="Calibri" w:cs="Times New Roman"/>
          <w:bCs/>
          <w:color w:val="000000"/>
        </w:rPr>
        <w:t>Statistical</w:t>
      </w:r>
      <w:r w:rsidR="00B95B28" w:rsidRPr="00146207">
        <w:rPr>
          <w:rFonts w:ascii="Calibri" w:eastAsia="Times New Roman" w:hAnsi="Calibri" w:cs="Times New Roman"/>
          <w:bCs/>
          <w:color w:val="000000"/>
        </w:rPr>
        <w:t xml:space="preserve"> Report</w:t>
      </w:r>
      <w:r w:rsidR="00EA313A">
        <w:rPr>
          <w:rFonts w:ascii="Calibri" w:eastAsia="Times New Roman" w:hAnsi="Calibri" w:cs="Times New Roman"/>
          <w:bCs/>
          <w:color w:val="000000"/>
        </w:rPr>
        <w:t xml:space="preserve"> </w:t>
      </w:r>
      <w:r w:rsidR="00B95B28" w:rsidRPr="00146207">
        <w:rPr>
          <w:rFonts w:ascii="Calibri" w:eastAsia="Times New Roman" w:hAnsi="Calibri" w:cs="Times New Roman"/>
          <w:bCs/>
          <w:color w:val="000000"/>
        </w:rPr>
        <w:t>(RGI) 2013</w:t>
      </w:r>
      <w:r w:rsidR="001138CB">
        <w:rPr>
          <w:rFonts w:ascii="Calibri" w:eastAsia="Times New Roman" w:hAnsi="Calibri" w:cs="Times New Roman"/>
          <w:bCs/>
          <w:color w:val="000000"/>
        </w:rPr>
        <w:t xml:space="preserve"> also states TFR as 2.1</w:t>
      </w:r>
      <w:r w:rsidR="00EA313A">
        <w:rPr>
          <w:rFonts w:ascii="Calibri" w:eastAsia="Times New Roman" w:hAnsi="Calibri" w:cs="Times New Roman"/>
          <w:bCs/>
          <w:color w:val="000000"/>
        </w:rPr>
        <w:t>.</w:t>
      </w:r>
    </w:p>
    <w:p w:rsidR="00EA313A" w:rsidRPr="00146207" w:rsidRDefault="00EA313A" w:rsidP="00EA313A">
      <w:pPr>
        <w:pStyle w:val="ListParagraph"/>
        <w:jc w:val="both"/>
        <w:rPr>
          <w:b/>
        </w:rPr>
      </w:pPr>
    </w:p>
    <w:tbl>
      <w:tblPr>
        <w:tblW w:w="6640" w:type="dxa"/>
        <w:jc w:val="center"/>
        <w:tblInd w:w="93" w:type="dxa"/>
        <w:tblLook w:val="04A0" w:firstRow="1" w:lastRow="0" w:firstColumn="1" w:lastColumn="0" w:noHBand="0" w:noVBand="1"/>
      </w:tblPr>
      <w:tblGrid>
        <w:gridCol w:w="1581"/>
        <w:gridCol w:w="1715"/>
        <w:gridCol w:w="1672"/>
        <w:gridCol w:w="1672"/>
      </w:tblGrid>
      <w:tr w:rsidR="00146207" w:rsidRPr="007B2B05" w:rsidTr="00EA313A">
        <w:trPr>
          <w:trHeight w:val="421"/>
          <w:jc w:val="center"/>
        </w:trPr>
        <w:tc>
          <w:tcPr>
            <w:tcW w:w="6640" w:type="dxa"/>
            <w:gridSpan w:val="4"/>
            <w:tcBorders>
              <w:top w:val="single" w:sz="8" w:space="0" w:color="auto"/>
              <w:left w:val="single" w:sz="8" w:space="0" w:color="auto"/>
              <w:bottom w:val="single" w:sz="8" w:space="0" w:color="auto"/>
              <w:right w:val="single" w:sz="8" w:space="0" w:color="000000"/>
            </w:tcBorders>
            <w:shd w:val="clear" w:color="000000" w:fill="F2DCDB"/>
            <w:vAlign w:val="center"/>
            <w:hideMark/>
          </w:tcPr>
          <w:p w:rsidR="00146207" w:rsidRPr="007B2B05" w:rsidRDefault="00146207" w:rsidP="00EA313A">
            <w:pPr>
              <w:spacing w:after="0" w:line="240" w:lineRule="auto"/>
              <w:jc w:val="center"/>
              <w:rPr>
                <w:rFonts w:ascii="Arial" w:eastAsia="Times New Roman" w:hAnsi="Arial" w:cs="Arial"/>
                <w:b/>
                <w:bCs/>
                <w:sz w:val="18"/>
                <w:szCs w:val="18"/>
              </w:rPr>
            </w:pPr>
            <w:r w:rsidRPr="007B2B05">
              <w:rPr>
                <w:rFonts w:ascii="Arial" w:eastAsia="Times New Roman" w:hAnsi="Arial" w:cs="Arial"/>
                <w:b/>
                <w:bCs/>
                <w:sz w:val="18"/>
                <w:szCs w:val="18"/>
              </w:rPr>
              <w:t>Total fertility rate (children per woman)</w:t>
            </w:r>
          </w:p>
        </w:tc>
      </w:tr>
      <w:tr w:rsidR="00146207" w:rsidRPr="007B2B05" w:rsidTr="00EA313A">
        <w:trPr>
          <w:trHeight w:val="915"/>
          <w:jc w:val="center"/>
        </w:trPr>
        <w:tc>
          <w:tcPr>
            <w:tcW w:w="1581" w:type="dxa"/>
            <w:tcBorders>
              <w:top w:val="nil"/>
              <w:left w:val="single" w:sz="8" w:space="0" w:color="auto"/>
              <w:bottom w:val="single" w:sz="8" w:space="0" w:color="auto"/>
              <w:right w:val="single" w:sz="8" w:space="0" w:color="auto"/>
            </w:tcBorders>
            <w:shd w:val="clear" w:color="000000" w:fill="D9D9D9"/>
            <w:noWrap/>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States</w:t>
            </w:r>
          </w:p>
        </w:tc>
        <w:tc>
          <w:tcPr>
            <w:tcW w:w="1715" w:type="dxa"/>
            <w:tcBorders>
              <w:top w:val="nil"/>
              <w:left w:val="nil"/>
              <w:bottom w:val="single" w:sz="8" w:space="0" w:color="auto"/>
              <w:right w:val="single" w:sz="8" w:space="0" w:color="auto"/>
            </w:tcBorders>
            <w:shd w:val="clear" w:color="000000" w:fill="D9D9D9"/>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NFHS IV (2015-16)</w:t>
            </w:r>
          </w:p>
        </w:tc>
        <w:tc>
          <w:tcPr>
            <w:tcW w:w="1672" w:type="dxa"/>
            <w:tcBorders>
              <w:top w:val="nil"/>
              <w:left w:val="nil"/>
              <w:bottom w:val="single" w:sz="8" w:space="0" w:color="auto"/>
              <w:right w:val="single" w:sz="8" w:space="0" w:color="auto"/>
            </w:tcBorders>
            <w:shd w:val="clear" w:color="000000" w:fill="D9D9D9"/>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AHS 2013</w:t>
            </w:r>
          </w:p>
        </w:tc>
        <w:tc>
          <w:tcPr>
            <w:tcW w:w="1672" w:type="dxa"/>
            <w:tcBorders>
              <w:top w:val="nil"/>
              <w:left w:val="nil"/>
              <w:bottom w:val="nil"/>
              <w:right w:val="single" w:sz="8" w:space="0" w:color="auto"/>
            </w:tcBorders>
            <w:shd w:val="clear" w:color="000000" w:fill="D9D9D9"/>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Statistical Report(RGI) 2013</w:t>
            </w:r>
          </w:p>
        </w:tc>
      </w:tr>
      <w:tr w:rsidR="00146207" w:rsidRPr="007B2B05" w:rsidTr="00EA313A">
        <w:trPr>
          <w:trHeight w:val="394"/>
          <w:jc w:val="center"/>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Bihar</w:t>
            </w:r>
          </w:p>
        </w:tc>
        <w:tc>
          <w:tcPr>
            <w:tcW w:w="1715" w:type="dxa"/>
            <w:tcBorders>
              <w:top w:val="single" w:sz="4" w:space="0" w:color="auto"/>
              <w:left w:val="nil"/>
              <w:bottom w:val="nil"/>
              <w:right w:val="single" w:sz="4" w:space="0" w:color="auto"/>
            </w:tcBorders>
            <w:shd w:val="clear" w:color="auto" w:fill="auto"/>
            <w:vAlign w:val="center"/>
            <w:hideMark/>
          </w:tcPr>
          <w:p w:rsidR="00146207" w:rsidRPr="007B2B05" w:rsidRDefault="00146207" w:rsidP="00EA313A">
            <w:pPr>
              <w:spacing w:after="0" w:line="240" w:lineRule="auto"/>
              <w:jc w:val="center"/>
              <w:rPr>
                <w:rFonts w:ascii="Calibri" w:eastAsia="Times New Roman" w:hAnsi="Calibri" w:cs="Times New Roman"/>
                <w:b/>
                <w:color w:val="000000"/>
              </w:rPr>
            </w:pPr>
            <w:r w:rsidRPr="007B2B05">
              <w:rPr>
                <w:rFonts w:ascii="Calibri" w:eastAsia="Times New Roman" w:hAnsi="Calibri" w:cs="Times New Roman"/>
                <w:b/>
                <w:color w:val="000000"/>
              </w:rPr>
              <w:t>3.4</w:t>
            </w:r>
          </w:p>
        </w:tc>
        <w:tc>
          <w:tcPr>
            <w:tcW w:w="1672" w:type="dxa"/>
            <w:tcBorders>
              <w:top w:val="single" w:sz="4" w:space="0" w:color="auto"/>
              <w:left w:val="nil"/>
              <w:bottom w:val="single" w:sz="4" w:space="0" w:color="auto"/>
              <w:right w:val="single" w:sz="4" w:space="0" w:color="auto"/>
            </w:tcBorders>
            <w:shd w:val="clear" w:color="000000" w:fill="FFFFFF"/>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3.5</w:t>
            </w:r>
          </w:p>
        </w:tc>
        <w:tc>
          <w:tcPr>
            <w:tcW w:w="1672" w:type="dxa"/>
            <w:tcBorders>
              <w:top w:val="single" w:sz="4" w:space="0" w:color="auto"/>
              <w:left w:val="nil"/>
              <w:bottom w:val="nil"/>
              <w:right w:val="single" w:sz="8" w:space="0" w:color="auto"/>
            </w:tcBorders>
            <w:shd w:val="clear" w:color="000000" w:fill="FFFFFF"/>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3.4</w:t>
            </w:r>
          </w:p>
        </w:tc>
      </w:tr>
      <w:tr w:rsidR="00146207" w:rsidRPr="007B2B05" w:rsidTr="00EA313A">
        <w:trPr>
          <w:trHeight w:val="315"/>
          <w:jc w:val="center"/>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Madhya Pradesh</w:t>
            </w:r>
          </w:p>
        </w:tc>
        <w:tc>
          <w:tcPr>
            <w:tcW w:w="1715" w:type="dxa"/>
            <w:tcBorders>
              <w:top w:val="single" w:sz="4" w:space="0" w:color="auto"/>
              <w:left w:val="nil"/>
              <w:bottom w:val="nil"/>
              <w:right w:val="nil"/>
            </w:tcBorders>
            <w:shd w:val="clear" w:color="auto" w:fill="auto"/>
            <w:vAlign w:val="center"/>
            <w:hideMark/>
          </w:tcPr>
          <w:p w:rsidR="00146207" w:rsidRPr="007B2B05" w:rsidRDefault="00146207" w:rsidP="00EA313A">
            <w:pPr>
              <w:spacing w:after="0" w:line="240" w:lineRule="auto"/>
              <w:jc w:val="center"/>
              <w:rPr>
                <w:rFonts w:ascii="Calibri" w:eastAsia="Times New Roman" w:hAnsi="Calibri" w:cs="Times New Roman"/>
                <w:b/>
                <w:color w:val="000000"/>
              </w:rPr>
            </w:pPr>
            <w:r w:rsidRPr="007B2B05">
              <w:rPr>
                <w:rFonts w:ascii="Calibri" w:eastAsia="Times New Roman" w:hAnsi="Calibri" w:cs="Times New Roman"/>
                <w:b/>
                <w:color w:val="000000"/>
              </w:rPr>
              <w:t>2.3</w:t>
            </w:r>
          </w:p>
        </w:tc>
        <w:tc>
          <w:tcPr>
            <w:tcW w:w="167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3.0</w:t>
            </w:r>
          </w:p>
        </w:tc>
        <w:tc>
          <w:tcPr>
            <w:tcW w:w="1672" w:type="dxa"/>
            <w:tcBorders>
              <w:top w:val="single" w:sz="8" w:space="0" w:color="auto"/>
              <w:left w:val="nil"/>
              <w:bottom w:val="single" w:sz="8" w:space="0" w:color="auto"/>
              <w:right w:val="single" w:sz="8" w:space="0" w:color="auto"/>
            </w:tcBorders>
            <w:shd w:val="clear" w:color="000000" w:fill="FFFFFF"/>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2.9</w:t>
            </w:r>
          </w:p>
        </w:tc>
      </w:tr>
      <w:tr w:rsidR="00146207" w:rsidRPr="007B2B05" w:rsidTr="00EA313A">
        <w:trPr>
          <w:trHeight w:val="421"/>
          <w:jc w:val="center"/>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Uttarakhand</w:t>
            </w:r>
          </w:p>
        </w:tc>
        <w:tc>
          <w:tcPr>
            <w:tcW w:w="1715" w:type="dxa"/>
            <w:tcBorders>
              <w:top w:val="single" w:sz="8" w:space="0" w:color="auto"/>
              <w:left w:val="nil"/>
              <w:bottom w:val="single" w:sz="8" w:space="0" w:color="auto"/>
              <w:right w:val="single" w:sz="8" w:space="0" w:color="auto"/>
            </w:tcBorders>
            <w:shd w:val="clear" w:color="auto" w:fill="auto"/>
            <w:noWrap/>
            <w:vAlign w:val="center"/>
            <w:hideMark/>
          </w:tcPr>
          <w:p w:rsidR="00146207" w:rsidRPr="007B2B05" w:rsidRDefault="00146207" w:rsidP="00EA313A">
            <w:pPr>
              <w:spacing w:after="0" w:line="240" w:lineRule="auto"/>
              <w:jc w:val="center"/>
              <w:rPr>
                <w:rFonts w:ascii="Calibri" w:eastAsia="Times New Roman" w:hAnsi="Calibri" w:cs="Times New Roman"/>
                <w:b/>
                <w:color w:val="000000"/>
              </w:rPr>
            </w:pPr>
            <w:r w:rsidRPr="007B2B05">
              <w:rPr>
                <w:rFonts w:ascii="Calibri" w:eastAsia="Times New Roman" w:hAnsi="Calibri" w:cs="Times New Roman"/>
                <w:b/>
                <w:color w:val="000000"/>
              </w:rPr>
              <w:t>2.1</w:t>
            </w:r>
          </w:p>
        </w:tc>
        <w:tc>
          <w:tcPr>
            <w:tcW w:w="1672" w:type="dxa"/>
            <w:tcBorders>
              <w:top w:val="nil"/>
              <w:left w:val="nil"/>
              <w:bottom w:val="single" w:sz="8" w:space="0" w:color="auto"/>
              <w:right w:val="single" w:sz="8" w:space="0" w:color="auto"/>
            </w:tcBorders>
            <w:shd w:val="clear" w:color="000000" w:fill="FFFFFF"/>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2.1</w:t>
            </w:r>
          </w:p>
        </w:tc>
        <w:tc>
          <w:tcPr>
            <w:tcW w:w="1672" w:type="dxa"/>
            <w:tcBorders>
              <w:top w:val="nil"/>
              <w:left w:val="nil"/>
              <w:bottom w:val="single" w:sz="8" w:space="0" w:color="auto"/>
              <w:right w:val="single" w:sz="8" w:space="0" w:color="auto"/>
            </w:tcBorders>
            <w:shd w:val="clear" w:color="000000" w:fill="FFFFFF"/>
            <w:vAlign w:val="center"/>
            <w:hideMark/>
          </w:tcPr>
          <w:p w:rsidR="00146207" w:rsidRPr="007B2B05" w:rsidRDefault="00146207" w:rsidP="00EA313A">
            <w:pPr>
              <w:spacing w:after="0" w:line="240" w:lineRule="auto"/>
              <w:jc w:val="center"/>
              <w:rPr>
                <w:rFonts w:ascii="Calibri" w:eastAsia="Times New Roman" w:hAnsi="Calibri" w:cs="Times New Roman"/>
                <w:b/>
                <w:bCs/>
                <w:color w:val="000000"/>
              </w:rPr>
            </w:pPr>
            <w:r w:rsidRPr="007B2B05">
              <w:rPr>
                <w:rFonts w:ascii="Calibri" w:eastAsia="Times New Roman" w:hAnsi="Calibri" w:cs="Times New Roman"/>
                <w:b/>
                <w:bCs/>
                <w:color w:val="000000"/>
              </w:rPr>
              <w:t>2.1</w:t>
            </w:r>
          </w:p>
        </w:tc>
      </w:tr>
    </w:tbl>
    <w:p w:rsidR="00146207" w:rsidRDefault="00146207" w:rsidP="007B2B05">
      <w:pPr>
        <w:pStyle w:val="ListParagraph"/>
        <w:jc w:val="both"/>
        <w:rPr>
          <w:b/>
        </w:rPr>
      </w:pPr>
    </w:p>
    <w:p w:rsidR="009B26B8" w:rsidRDefault="009B26B8" w:rsidP="007B2B05">
      <w:pPr>
        <w:pStyle w:val="ListParagraph"/>
        <w:jc w:val="both"/>
        <w:rPr>
          <w:b/>
        </w:rPr>
      </w:pPr>
    </w:p>
    <w:p w:rsidR="009B26B8" w:rsidRPr="00BF7973" w:rsidRDefault="009B26B8" w:rsidP="007B2B05">
      <w:pPr>
        <w:pStyle w:val="ListParagraph"/>
        <w:jc w:val="both"/>
        <w:rPr>
          <w:b/>
        </w:rPr>
      </w:pPr>
    </w:p>
    <w:p w:rsidR="00BF7973" w:rsidRPr="00BF7973" w:rsidRDefault="00BF7973" w:rsidP="007B2B05">
      <w:pPr>
        <w:pStyle w:val="ListParagraph"/>
        <w:jc w:val="both"/>
        <w:rPr>
          <w:b/>
        </w:rPr>
      </w:pPr>
    </w:p>
    <w:p w:rsidR="00022533" w:rsidRPr="009B26B8" w:rsidRDefault="00BF7973" w:rsidP="007B2B05">
      <w:pPr>
        <w:pStyle w:val="ListParagraph"/>
        <w:numPr>
          <w:ilvl w:val="0"/>
          <w:numId w:val="2"/>
        </w:numPr>
        <w:jc w:val="both"/>
        <w:rPr>
          <w:b/>
        </w:rPr>
      </w:pPr>
      <w:r>
        <w:rPr>
          <w:b/>
        </w:rPr>
        <w:t>Infant Mortality Rate (IMR)</w:t>
      </w:r>
      <w:r w:rsidR="00B2271B" w:rsidRPr="00B2271B">
        <w:rPr>
          <w:b/>
          <w:bCs/>
        </w:rPr>
        <w:t xml:space="preserve"> </w:t>
      </w:r>
      <w:r w:rsidR="00B2271B">
        <w:rPr>
          <w:b/>
          <w:bCs/>
        </w:rPr>
        <w:t>( Graph 3</w:t>
      </w:r>
      <w:r w:rsidR="00B2271B">
        <w:rPr>
          <w:b/>
          <w:bCs/>
        </w:rPr>
        <w:t xml:space="preserve">): </w:t>
      </w:r>
      <w:r w:rsidR="007B2B05">
        <w:rPr>
          <w:b/>
        </w:rPr>
        <w:t xml:space="preserve"> </w:t>
      </w:r>
      <w:r>
        <w:rPr>
          <w:b/>
        </w:rPr>
        <w:t>:</w:t>
      </w:r>
      <w:r w:rsidR="007B2B05">
        <w:rPr>
          <w:b/>
        </w:rPr>
        <w:t xml:space="preserve"> </w:t>
      </w:r>
      <w:r w:rsidR="007B2B05">
        <w:t xml:space="preserve">Among the three states, </w:t>
      </w:r>
      <w:r w:rsidR="00022533">
        <w:t>Madhya Pradesh has shown the maximum decline of 18 points, from 69.0 in NFHS III to 51 in NFHS IV.</w:t>
      </w:r>
      <w:r w:rsidR="006058D0">
        <w:t xml:space="preserve"> I</w:t>
      </w:r>
      <w:r w:rsidR="00EA313A">
        <w:t>MR</w:t>
      </w:r>
      <w:r w:rsidR="006058D0">
        <w:t xml:space="preserve"> is 62 as per AHS 2013 and </w:t>
      </w:r>
      <w:r w:rsidR="006058D0">
        <w:lastRenderedPageBreak/>
        <w:t xml:space="preserve">54 as per SRS Bulletin, Sep 2014 for </w:t>
      </w:r>
      <w:r w:rsidR="00EA313A">
        <w:t>MP</w:t>
      </w:r>
      <w:r w:rsidR="006058D0">
        <w:t>.</w:t>
      </w:r>
      <w:r w:rsidR="00022533">
        <w:t xml:space="preserve"> The minimum decline of 2 points is shown by Uttarakhand, from 42</w:t>
      </w:r>
      <w:r w:rsidR="009B26B8">
        <w:t xml:space="preserve"> (NFHS III)</w:t>
      </w:r>
      <w:r w:rsidR="00022533">
        <w:t xml:space="preserve"> to 40</w:t>
      </w:r>
      <w:r w:rsidR="009B26B8">
        <w:t xml:space="preserve"> (NFHS IV)</w:t>
      </w:r>
      <w:r w:rsidR="00022533">
        <w:t xml:space="preserve">. </w:t>
      </w:r>
      <w:r w:rsidR="009B26B8">
        <w:t>As per AHS 2013</w:t>
      </w:r>
      <w:r w:rsidR="005236E5">
        <w:t>,</w:t>
      </w:r>
      <w:r w:rsidR="009B26B8">
        <w:t xml:space="preserve"> it is 40 and a</w:t>
      </w:r>
      <w:r w:rsidR="00022533">
        <w:t>s per SRS Bulletin, Sep 2014 for 2013,</w:t>
      </w:r>
      <w:r w:rsidR="00EA313A">
        <w:t xml:space="preserve"> </w:t>
      </w:r>
      <w:r w:rsidR="009B26B8">
        <w:t>it is 32. Bihar’s IMR has come down from 61 (NFHS</w:t>
      </w:r>
      <w:r w:rsidR="00022533">
        <w:t xml:space="preserve"> I</w:t>
      </w:r>
      <w:r w:rsidR="009B26B8">
        <w:t>II) to</w:t>
      </w:r>
      <w:r w:rsidR="00022533">
        <w:t xml:space="preserve"> 48</w:t>
      </w:r>
      <w:r w:rsidR="00EA313A">
        <w:t xml:space="preserve"> (NFHS IV)</w:t>
      </w:r>
      <w:r w:rsidR="00022533">
        <w:t xml:space="preserve">. </w:t>
      </w:r>
      <w:r w:rsidR="009B26B8">
        <w:t>As per AHS 2013</w:t>
      </w:r>
      <w:r w:rsidR="005236E5">
        <w:t>,</w:t>
      </w:r>
      <w:r w:rsidR="009B26B8">
        <w:t xml:space="preserve"> it is 48 and as per SRS Bulletin, Sep 2014 for 2013</w:t>
      </w:r>
      <w:proofErr w:type="gramStart"/>
      <w:r w:rsidR="009B26B8">
        <w:t>,it</w:t>
      </w:r>
      <w:proofErr w:type="gramEnd"/>
      <w:r w:rsidR="009B26B8">
        <w:t xml:space="preserve"> is 42</w:t>
      </w:r>
      <w:r w:rsidR="005236E5">
        <w:t>.</w:t>
      </w:r>
    </w:p>
    <w:p w:rsidR="009B26B8" w:rsidRPr="009B26B8" w:rsidRDefault="009B26B8" w:rsidP="007B2B05">
      <w:pPr>
        <w:jc w:val="both"/>
        <w:rPr>
          <w:b/>
        </w:rPr>
      </w:pPr>
    </w:p>
    <w:tbl>
      <w:tblPr>
        <w:tblW w:w="6640" w:type="dxa"/>
        <w:jc w:val="center"/>
        <w:tblInd w:w="93" w:type="dxa"/>
        <w:tblLook w:val="04A0" w:firstRow="1" w:lastRow="0" w:firstColumn="1" w:lastColumn="0" w:noHBand="0" w:noVBand="1"/>
      </w:tblPr>
      <w:tblGrid>
        <w:gridCol w:w="1576"/>
        <w:gridCol w:w="1726"/>
        <w:gridCol w:w="1669"/>
        <w:gridCol w:w="1669"/>
      </w:tblGrid>
      <w:tr w:rsidR="006058D0" w:rsidRPr="006058D0" w:rsidTr="00AE5B8A">
        <w:trPr>
          <w:trHeight w:val="315"/>
          <w:jc w:val="center"/>
        </w:trPr>
        <w:tc>
          <w:tcPr>
            <w:tcW w:w="6640" w:type="dxa"/>
            <w:gridSpan w:val="4"/>
            <w:tcBorders>
              <w:top w:val="single" w:sz="8" w:space="0" w:color="auto"/>
              <w:left w:val="single" w:sz="8" w:space="0" w:color="auto"/>
              <w:bottom w:val="single" w:sz="8" w:space="0" w:color="auto"/>
              <w:right w:val="single" w:sz="8" w:space="0" w:color="000000"/>
            </w:tcBorders>
            <w:shd w:val="clear" w:color="000000" w:fill="F2DCDB"/>
            <w:vAlign w:val="center"/>
            <w:hideMark/>
          </w:tcPr>
          <w:p w:rsidR="006058D0" w:rsidRPr="006058D0" w:rsidRDefault="006058D0" w:rsidP="00AE5B8A">
            <w:pPr>
              <w:spacing w:after="0" w:line="240" w:lineRule="auto"/>
              <w:jc w:val="center"/>
              <w:rPr>
                <w:rFonts w:ascii="Arial" w:eastAsia="Times New Roman" w:hAnsi="Arial" w:cs="Arial"/>
                <w:b/>
                <w:bCs/>
                <w:sz w:val="18"/>
                <w:szCs w:val="18"/>
              </w:rPr>
            </w:pPr>
            <w:r w:rsidRPr="006058D0">
              <w:rPr>
                <w:rFonts w:ascii="Arial" w:eastAsia="Times New Roman" w:hAnsi="Arial" w:cs="Arial"/>
                <w:b/>
                <w:bCs/>
                <w:sz w:val="18"/>
                <w:szCs w:val="18"/>
              </w:rPr>
              <w:t>Infant Mortality Rate</w:t>
            </w:r>
          </w:p>
        </w:tc>
      </w:tr>
      <w:tr w:rsidR="006058D0" w:rsidRPr="006058D0" w:rsidTr="00AE5B8A">
        <w:trPr>
          <w:trHeight w:val="915"/>
          <w:jc w:val="center"/>
        </w:trPr>
        <w:tc>
          <w:tcPr>
            <w:tcW w:w="1576" w:type="dxa"/>
            <w:tcBorders>
              <w:top w:val="nil"/>
              <w:left w:val="single" w:sz="8" w:space="0" w:color="auto"/>
              <w:bottom w:val="single" w:sz="8" w:space="0" w:color="auto"/>
              <w:right w:val="single" w:sz="8" w:space="0" w:color="auto"/>
            </w:tcBorders>
            <w:shd w:val="clear" w:color="000000" w:fill="D9D9D9"/>
            <w:noWrap/>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States</w:t>
            </w:r>
          </w:p>
        </w:tc>
        <w:tc>
          <w:tcPr>
            <w:tcW w:w="1726" w:type="dxa"/>
            <w:tcBorders>
              <w:top w:val="nil"/>
              <w:left w:val="nil"/>
              <w:bottom w:val="single" w:sz="8" w:space="0" w:color="auto"/>
              <w:right w:val="single" w:sz="8" w:space="0" w:color="auto"/>
            </w:tcBorders>
            <w:shd w:val="clear" w:color="000000" w:fill="D9D9D9"/>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NFHS IV (2015-16)</w:t>
            </w:r>
          </w:p>
        </w:tc>
        <w:tc>
          <w:tcPr>
            <w:tcW w:w="1669" w:type="dxa"/>
            <w:tcBorders>
              <w:top w:val="nil"/>
              <w:left w:val="nil"/>
              <w:bottom w:val="single" w:sz="8" w:space="0" w:color="auto"/>
              <w:right w:val="single" w:sz="8" w:space="0" w:color="auto"/>
            </w:tcBorders>
            <w:shd w:val="clear" w:color="000000" w:fill="D9D9D9"/>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AHS 2013</w:t>
            </w:r>
          </w:p>
        </w:tc>
        <w:tc>
          <w:tcPr>
            <w:tcW w:w="1669" w:type="dxa"/>
            <w:tcBorders>
              <w:top w:val="nil"/>
              <w:left w:val="nil"/>
              <w:bottom w:val="single" w:sz="8" w:space="0" w:color="auto"/>
              <w:right w:val="single" w:sz="8" w:space="0" w:color="auto"/>
            </w:tcBorders>
            <w:shd w:val="clear" w:color="000000" w:fill="D9D9D9"/>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SRS 2013</w:t>
            </w:r>
          </w:p>
        </w:tc>
      </w:tr>
      <w:tr w:rsidR="006058D0" w:rsidRPr="006058D0" w:rsidTr="00AE5B8A">
        <w:trPr>
          <w:trHeight w:val="315"/>
          <w:jc w:val="center"/>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Bihar</w:t>
            </w:r>
          </w:p>
        </w:tc>
        <w:tc>
          <w:tcPr>
            <w:tcW w:w="1726" w:type="dxa"/>
            <w:tcBorders>
              <w:top w:val="nil"/>
              <w:left w:val="nil"/>
              <w:bottom w:val="single" w:sz="8" w:space="0" w:color="auto"/>
              <w:right w:val="single" w:sz="8" w:space="0" w:color="auto"/>
            </w:tcBorders>
            <w:shd w:val="clear" w:color="auto" w:fill="auto"/>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48.0</w:t>
            </w:r>
          </w:p>
        </w:tc>
        <w:tc>
          <w:tcPr>
            <w:tcW w:w="1669" w:type="dxa"/>
            <w:tcBorders>
              <w:top w:val="nil"/>
              <w:left w:val="nil"/>
              <w:bottom w:val="single" w:sz="8" w:space="0" w:color="auto"/>
              <w:right w:val="single" w:sz="8" w:space="0" w:color="auto"/>
            </w:tcBorders>
            <w:shd w:val="clear" w:color="000000" w:fill="FFFFFF"/>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48.0</w:t>
            </w:r>
          </w:p>
        </w:tc>
        <w:tc>
          <w:tcPr>
            <w:tcW w:w="1669" w:type="dxa"/>
            <w:tcBorders>
              <w:top w:val="nil"/>
              <w:left w:val="nil"/>
              <w:bottom w:val="single" w:sz="8" w:space="0" w:color="auto"/>
              <w:right w:val="single" w:sz="8" w:space="0" w:color="auto"/>
            </w:tcBorders>
            <w:shd w:val="clear" w:color="000000" w:fill="FFFFFF"/>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42.0</w:t>
            </w:r>
          </w:p>
        </w:tc>
      </w:tr>
      <w:tr w:rsidR="006058D0" w:rsidRPr="006058D0" w:rsidTr="00AE5B8A">
        <w:trPr>
          <w:trHeight w:val="315"/>
          <w:jc w:val="center"/>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Madhya Pradesh</w:t>
            </w:r>
          </w:p>
        </w:tc>
        <w:tc>
          <w:tcPr>
            <w:tcW w:w="1726" w:type="dxa"/>
            <w:tcBorders>
              <w:top w:val="nil"/>
              <w:left w:val="nil"/>
              <w:bottom w:val="single" w:sz="8" w:space="0" w:color="auto"/>
              <w:right w:val="nil"/>
            </w:tcBorders>
            <w:shd w:val="clear" w:color="auto" w:fill="auto"/>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51.0</w:t>
            </w:r>
          </w:p>
        </w:tc>
        <w:tc>
          <w:tcPr>
            <w:tcW w:w="1669" w:type="dxa"/>
            <w:tcBorders>
              <w:top w:val="nil"/>
              <w:left w:val="single" w:sz="8" w:space="0" w:color="auto"/>
              <w:bottom w:val="single" w:sz="8" w:space="0" w:color="auto"/>
              <w:right w:val="single" w:sz="8" w:space="0" w:color="auto"/>
            </w:tcBorders>
            <w:shd w:val="clear" w:color="000000" w:fill="FFFFFF"/>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62.0</w:t>
            </w:r>
          </w:p>
        </w:tc>
        <w:tc>
          <w:tcPr>
            <w:tcW w:w="1669" w:type="dxa"/>
            <w:tcBorders>
              <w:top w:val="nil"/>
              <w:left w:val="nil"/>
              <w:bottom w:val="single" w:sz="8" w:space="0" w:color="auto"/>
              <w:right w:val="single" w:sz="8" w:space="0" w:color="auto"/>
            </w:tcBorders>
            <w:shd w:val="clear" w:color="000000" w:fill="FFFFFF"/>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54.0</w:t>
            </w:r>
          </w:p>
        </w:tc>
      </w:tr>
      <w:tr w:rsidR="006058D0" w:rsidRPr="006058D0" w:rsidTr="00AE5B8A">
        <w:trPr>
          <w:trHeight w:val="615"/>
          <w:jc w:val="center"/>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Uttarakhand</w:t>
            </w:r>
          </w:p>
        </w:tc>
        <w:tc>
          <w:tcPr>
            <w:tcW w:w="1726" w:type="dxa"/>
            <w:tcBorders>
              <w:top w:val="nil"/>
              <w:left w:val="nil"/>
              <w:bottom w:val="single" w:sz="8" w:space="0" w:color="auto"/>
              <w:right w:val="single" w:sz="8" w:space="0" w:color="auto"/>
            </w:tcBorders>
            <w:shd w:val="clear" w:color="auto" w:fill="auto"/>
            <w:noWrap/>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40.0</w:t>
            </w:r>
          </w:p>
        </w:tc>
        <w:tc>
          <w:tcPr>
            <w:tcW w:w="1669" w:type="dxa"/>
            <w:tcBorders>
              <w:top w:val="nil"/>
              <w:left w:val="nil"/>
              <w:bottom w:val="single" w:sz="8" w:space="0" w:color="auto"/>
              <w:right w:val="single" w:sz="8" w:space="0" w:color="auto"/>
            </w:tcBorders>
            <w:shd w:val="clear" w:color="000000" w:fill="FFFFFF"/>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40.0</w:t>
            </w:r>
          </w:p>
        </w:tc>
        <w:tc>
          <w:tcPr>
            <w:tcW w:w="1669" w:type="dxa"/>
            <w:tcBorders>
              <w:top w:val="nil"/>
              <w:left w:val="nil"/>
              <w:bottom w:val="single" w:sz="8" w:space="0" w:color="auto"/>
              <w:right w:val="single" w:sz="8" w:space="0" w:color="auto"/>
            </w:tcBorders>
            <w:shd w:val="clear" w:color="000000" w:fill="FFFFFF"/>
            <w:vAlign w:val="center"/>
            <w:hideMark/>
          </w:tcPr>
          <w:p w:rsidR="006058D0" w:rsidRPr="006058D0" w:rsidRDefault="006058D0" w:rsidP="00AE5B8A">
            <w:pPr>
              <w:spacing w:after="0" w:line="240" w:lineRule="auto"/>
              <w:jc w:val="center"/>
              <w:rPr>
                <w:rFonts w:ascii="Calibri" w:eastAsia="Times New Roman" w:hAnsi="Calibri" w:cs="Times New Roman"/>
                <w:b/>
                <w:bCs/>
                <w:color w:val="000000"/>
              </w:rPr>
            </w:pPr>
            <w:r w:rsidRPr="006058D0">
              <w:rPr>
                <w:rFonts w:ascii="Calibri" w:eastAsia="Times New Roman" w:hAnsi="Calibri" w:cs="Times New Roman"/>
                <w:b/>
                <w:bCs/>
                <w:color w:val="000000"/>
              </w:rPr>
              <w:t>32.0</w:t>
            </w:r>
          </w:p>
        </w:tc>
      </w:tr>
    </w:tbl>
    <w:p w:rsidR="006058D0" w:rsidRPr="00F32338" w:rsidRDefault="006058D0" w:rsidP="007B2B05">
      <w:pPr>
        <w:pStyle w:val="ListParagraph"/>
        <w:jc w:val="both"/>
        <w:rPr>
          <w:b/>
        </w:rPr>
      </w:pPr>
    </w:p>
    <w:p w:rsidR="00F32338" w:rsidRPr="001F20A8" w:rsidRDefault="00F32338" w:rsidP="007B2B05">
      <w:pPr>
        <w:pStyle w:val="ListParagraph"/>
        <w:jc w:val="both"/>
        <w:rPr>
          <w:b/>
        </w:rPr>
      </w:pPr>
    </w:p>
    <w:p w:rsidR="00F32338" w:rsidRPr="001F20A8" w:rsidRDefault="00F32338" w:rsidP="00E442FA">
      <w:pPr>
        <w:pStyle w:val="ListParagraph"/>
        <w:numPr>
          <w:ilvl w:val="0"/>
          <w:numId w:val="2"/>
        </w:numPr>
        <w:jc w:val="both"/>
      </w:pPr>
      <w:r w:rsidRPr="00E442FA">
        <w:rPr>
          <w:b/>
        </w:rPr>
        <w:t>Under 5 Mortality Rate (U5MR)</w:t>
      </w:r>
      <w:r w:rsidR="001F20A8" w:rsidRPr="00E442FA">
        <w:rPr>
          <w:b/>
        </w:rPr>
        <w:t xml:space="preserve"> </w:t>
      </w:r>
      <w:proofErr w:type="gramStart"/>
      <w:r w:rsidR="00B2271B">
        <w:rPr>
          <w:b/>
          <w:bCs/>
        </w:rPr>
        <w:t>( Graph</w:t>
      </w:r>
      <w:proofErr w:type="gramEnd"/>
      <w:r w:rsidR="00B2271B">
        <w:rPr>
          <w:b/>
          <w:bCs/>
        </w:rPr>
        <w:t xml:space="preserve"> </w:t>
      </w:r>
      <w:r w:rsidR="00B2271B">
        <w:rPr>
          <w:b/>
          <w:bCs/>
        </w:rPr>
        <w:t>4</w:t>
      </w:r>
      <w:r w:rsidR="00B2271B">
        <w:rPr>
          <w:b/>
          <w:bCs/>
        </w:rPr>
        <w:t>):</w:t>
      </w:r>
      <w:r w:rsidRPr="00E442FA">
        <w:rPr>
          <w:b/>
        </w:rPr>
        <w:t xml:space="preserve">: </w:t>
      </w:r>
      <w:r w:rsidR="00AE5B8A" w:rsidRPr="001F20A8">
        <w:t>In Madhya Pradesh,</w:t>
      </w:r>
      <w:r w:rsidRPr="001F20A8">
        <w:t xml:space="preserve"> </w:t>
      </w:r>
      <w:r w:rsidR="00AE5B8A" w:rsidRPr="001F20A8">
        <w:t>t</w:t>
      </w:r>
      <w:r w:rsidRPr="001F20A8">
        <w:t>here is a decline of 28 point</w:t>
      </w:r>
      <w:r w:rsidRPr="00E442FA">
        <w:rPr>
          <w:b/>
        </w:rPr>
        <w:t>s</w:t>
      </w:r>
      <w:r w:rsidRPr="001F20A8">
        <w:t>, fr</w:t>
      </w:r>
      <w:r w:rsidR="001F20A8" w:rsidRPr="001F20A8">
        <w:t>om 93 (NFHS III) to 65</w:t>
      </w:r>
      <w:r w:rsidR="001F20A8">
        <w:t xml:space="preserve"> </w:t>
      </w:r>
      <w:r w:rsidR="001F20A8" w:rsidRPr="001F20A8">
        <w:t>(NFHS IV)</w:t>
      </w:r>
      <w:r w:rsidR="00093B0C" w:rsidRPr="001F20A8">
        <w:t>. As pe</w:t>
      </w:r>
      <w:r w:rsidR="001F20A8">
        <w:t>r Statistical Report 2013 (RGI)</w:t>
      </w:r>
      <w:r w:rsidR="00093B0C" w:rsidRPr="001F20A8">
        <w:t>, U5MR for MP is 69</w:t>
      </w:r>
      <w:r w:rsidR="001F20A8" w:rsidRPr="001F20A8">
        <w:t xml:space="preserve"> and as per AHS 2013, it is 83.</w:t>
      </w:r>
      <w:r w:rsidR="001F20A8">
        <w:t xml:space="preserve"> </w:t>
      </w:r>
      <w:r w:rsidR="00093B0C" w:rsidRPr="001F20A8">
        <w:t xml:space="preserve">There is </w:t>
      </w:r>
      <w:r w:rsidR="005A510F" w:rsidRPr="001F20A8">
        <w:t>a drop</w:t>
      </w:r>
      <w:r w:rsidRPr="001F20A8">
        <w:t xml:space="preserve"> of 26 points, from 84</w:t>
      </w:r>
      <w:r w:rsidR="001F20A8">
        <w:t xml:space="preserve"> </w:t>
      </w:r>
      <w:r w:rsidR="001F20A8" w:rsidRPr="001F20A8">
        <w:t>(NFHS III)</w:t>
      </w:r>
      <w:r w:rsidR="001F20A8">
        <w:t xml:space="preserve"> </w:t>
      </w:r>
      <w:r w:rsidRPr="001F20A8">
        <w:t xml:space="preserve">to 58 </w:t>
      </w:r>
      <w:r w:rsidR="001F20A8" w:rsidRPr="001F20A8">
        <w:t xml:space="preserve">(NFHS III) </w:t>
      </w:r>
      <w:r w:rsidRPr="001F20A8">
        <w:t>for Bihar.</w:t>
      </w:r>
      <w:r w:rsidR="001F20A8">
        <w:t xml:space="preserve"> </w:t>
      </w:r>
      <w:r w:rsidR="00093B0C" w:rsidRPr="001F20A8">
        <w:t>As per Statistical Report 2013 (RGI</w:t>
      </w:r>
      <w:r w:rsidR="005A510F" w:rsidRPr="001F20A8">
        <w:t>),</w:t>
      </w:r>
      <w:r w:rsidR="00093B0C" w:rsidRPr="001F20A8">
        <w:t xml:space="preserve"> U5MR for Bihar is 5</w:t>
      </w:r>
      <w:r w:rsidR="001F20A8">
        <w:t>4 and as per AHS 2013, it is 70.</w:t>
      </w:r>
      <w:r w:rsidRPr="001F20A8">
        <w:t xml:space="preserve"> Uttarakhand has declined from 56 (NFHS III) to 47 (NFHS IV</w:t>
      </w:r>
      <w:r w:rsidR="001F20A8">
        <w:t>) and as per AHS 2013, U5MR is 4</w:t>
      </w:r>
      <w:r w:rsidR="00571F4D">
        <w:t>8</w:t>
      </w:r>
      <w:r w:rsidR="001F20A8">
        <w:t>.</w:t>
      </w:r>
    </w:p>
    <w:p w:rsidR="005A510F" w:rsidRPr="001F20A8" w:rsidRDefault="005A510F" w:rsidP="007B2B05">
      <w:pPr>
        <w:pStyle w:val="ListParagraph"/>
        <w:jc w:val="both"/>
      </w:pPr>
    </w:p>
    <w:tbl>
      <w:tblPr>
        <w:tblW w:w="6640" w:type="dxa"/>
        <w:jc w:val="center"/>
        <w:tblInd w:w="93" w:type="dxa"/>
        <w:tblLook w:val="04A0" w:firstRow="1" w:lastRow="0" w:firstColumn="1" w:lastColumn="0" w:noHBand="0" w:noVBand="1"/>
      </w:tblPr>
      <w:tblGrid>
        <w:gridCol w:w="1576"/>
        <w:gridCol w:w="1726"/>
        <w:gridCol w:w="1669"/>
        <w:gridCol w:w="1669"/>
      </w:tblGrid>
      <w:tr w:rsidR="005B393B" w:rsidRPr="006D4675" w:rsidTr="00E55591">
        <w:trPr>
          <w:trHeight w:val="376"/>
          <w:jc w:val="center"/>
        </w:trPr>
        <w:tc>
          <w:tcPr>
            <w:tcW w:w="6640" w:type="dxa"/>
            <w:gridSpan w:val="4"/>
            <w:tcBorders>
              <w:top w:val="single" w:sz="8" w:space="0" w:color="auto"/>
              <w:left w:val="single" w:sz="8" w:space="0" w:color="auto"/>
              <w:bottom w:val="single" w:sz="8" w:space="0" w:color="auto"/>
              <w:right w:val="single" w:sz="8" w:space="0" w:color="000000"/>
            </w:tcBorders>
            <w:shd w:val="clear" w:color="000000" w:fill="F2DCDB"/>
            <w:vAlign w:val="center"/>
            <w:hideMark/>
          </w:tcPr>
          <w:p w:rsidR="005B393B" w:rsidRPr="006D4675" w:rsidRDefault="005B393B" w:rsidP="006D4675">
            <w:pPr>
              <w:spacing w:after="0" w:line="240" w:lineRule="auto"/>
              <w:jc w:val="center"/>
              <w:rPr>
                <w:rFonts w:ascii="Arial" w:eastAsia="Times New Roman" w:hAnsi="Arial" w:cs="Arial"/>
                <w:b/>
                <w:bCs/>
                <w:sz w:val="18"/>
              </w:rPr>
            </w:pPr>
            <w:r w:rsidRPr="006D4675">
              <w:rPr>
                <w:rFonts w:ascii="Arial" w:eastAsia="Times New Roman" w:hAnsi="Arial" w:cs="Arial"/>
                <w:b/>
                <w:bCs/>
                <w:sz w:val="18"/>
              </w:rPr>
              <w:t>Under 5 Mortality Rate</w:t>
            </w:r>
          </w:p>
        </w:tc>
      </w:tr>
      <w:tr w:rsidR="005B393B" w:rsidRPr="006D4675" w:rsidTr="006D4675">
        <w:trPr>
          <w:trHeight w:val="915"/>
          <w:jc w:val="center"/>
        </w:trPr>
        <w:tc>
          <w:tcPr>
            <w:tcW w:w="1576" w:type="dxa"/>
            <w:tcBorders>
              <w:top w:val="nil"/>
              <w:left w:val="single" w:sz="8" w:space="0" w:color="auto"/>
              <w:bottom w:val="single" w:sz="8" w:space="0" w:color="auto"/>
              <w:right w:val="single" w:sz="8" w:space="0" w:color="auto"/>
            </w:tcBorders>
            <w:shd w:val="clear" w:color="000000" w:fill="D9D9D9"/>
            <w:noWrap/>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States</w:t>
            </w:r>
          </w:p>
        </w:tc>
        <w:tc>
          <w:tcPr>
            <w:tcW w:w="1726" w:type="dxa"/>
            <w:tcBorders>
              <w:top w:val="nil"/>
              <w:left w:val="nil"/>
              <w:bottom w:val="single" w:sz="8" w:space="0" w:color="auto"/>
              <w:right w:val="single" w:sz="8" w:space="0" w:color="auto"/>
            </w:tcBorders>
            <w:shd w:val="clear" w:color="000000" w:fill="D9D9D9"/>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NFHS IV (2015-16)</w:t>
            </w:r>
          </w:p>
        </w:tc>
        <w:tc>
          <w:tcPr>
            <w:tcW w:w="1669" w:type="dxa"/>
            <w:tcBorders>
              <w:top w:val="nil"/>
              <w:left w:val="nil"/>
              <w:bottom w:val="single" w:sz="8" w:space="0" w:color="auto"/>
              <w:right w:val="single" w:sz="8" w:space="0" w:color="auto"/>
            </w:tcBorders>
            <w:shd w:val="clear" w:color="000000" w:fill="D9D9D9"/>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AHS 2013</w:t>
            </w:r>
          </w:p>
        </w:tc>
        <w:tc>
          <w:tcPr>
            <w:tcW w:w="1669" w:type="dxa"/>
            <w:tcBorders>
              <w:top w:val="nil"/>
              <w:left w:val="nil"/>
              <w:bottom w:val="nil"/>
              <w:right w:val="single" w:sz="8" w:space="0" w:color="auto"/>
            </w:tcBorders>
            <w:shd w:val="clear" w:color="000000" w:fill="D9D9D9"/>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Statistical Report(RGI) 2013</w:t>
            </w:r>
          </w:p>
        </w:tc>
      </w:tr>
      <w:tr w:rsidR="005B393B" w:rsidRPr="006D4675" w:rsidTr="00E55591">
        <w:trPr>
          <w:trHeight w:val="394"/>
          <w:jc w:val="center"/>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Bihar</w:t>
            </w:r>
          </w:p>
        </w:tc>
        <w:tc>
          <w:tcPr>
            <w:tcW w:w="1726" w:type="dxa"/>
            <w:tcBorders>
              <w:top w:val="nil"/>
              <w:left w:val="nil"/>
              <w:bottom w:val="single" w:sz="8" w:space="0" w:color="auto"/>
              <w:right w:val="single" w:sz="8" w:space="0" w:color="auto"/>
            </w:tcBorders>
            <w:shd w:val="clear" w:color="auto" w:fill="auto"/>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58.0</w:t>
            </w:r>
          </w:p>
        </w:tc>
        <w:tc>
          <w:tcPr>
            <w:tcW w:w="1669" w:type="dxa"/>
            <w:tcBorders>
              <w:top w:val="nil"/>
              <w:left w:val="nil"/>
              <w:bottom w:val="single" w:sz="8" w:space="0" w:color="auto"/>
              <w:right w:val="single" w:sz="8" w:space="0" w:color="auto"/>
            </w:tcBorders>
            <w:shd w:val="clear" w:color="000000" w:fill="FFFFFF"/>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70.0</w:t>
            </w:r>
          </w:p>
        </w:tc>
        <w:tc>
          <w:tcPr>
            <w:tcW w:w="1669" w:type="dxa"/>
            <w:tcBorders>
              <w:top w:val="single" w:sz="8" w:space="0" w:color="auto"/>
              <w:left w:val="nil"/>
              <w:bottom w:val="single" w:sz="8" w:space="0" w:color="auto"/>
              <w:right w:val="single" w:sz="8" w:space="0" w:color="auto"/>
            </w:tcBorders>
            <w:shd w:val="clear" w:color="000000" w:fill="FFFFFF"/>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54.0</w:t>
            </w:r>
          </w:p>
        </w:tc>
      </w:tr>
      <w:tr w:rsidR="005B393B" w:rsidRPr="006D4675" w:rsidTr="006D4675">
        <w:trPr>
          <w:trHeight w:val="315"/>
          <w:jc w:val="center"/>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Madhya Pradesh</w:t>
            </w:r>
          </w:p>
        </w:tc>
        <w:tc>
          <w:tcPr>
            <w:tcW w:w="1726" w:type="dxa"/>
            <w:tcBorders>
              <w:top w:val="nil"/>
              <w:left w:val="nil"/>
              <w:bottom w:val="single" w:sz="8" w:space="0" w:color="auto"/>
              <w:right w:val="single" w:sz="8" w:space="0" w:color="auto"/>
            </w:tcBorders>
            <w:shd w:val="clear" w:color="auto" w:fill="auto"/>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65.0</w:t>
            </w:r>
          </w:p>
        </w:tc>
        <w:tc>
          <w:tcPr>
            <w:tcW w:w="1669" w:type="dxa"/>
            <w:tcBorders>
              <w:top w:val="nil"/>
              <w:left w:val="nil"/>
              <w:bottom w:val="single" w:sz="8" w:space="0" w:color="auto"/>
              <w:right w:val="single" w:sz="8" w:space="0" w:color="auto"/>
            </w:tcBorders>
            <w:shd w:val="clear" w:color="000000" w:fill="FFFFFF"/>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83.0</w:t>
            </w:r>
          </w:p>
        </w:tc>
        <w:tc>
          <w:tcPr>
            <w:tcW w:w="1669" w:type="dxa"/>
            <w:tcBorders>
              <w:top w:val="nil"/>
              <w:left w:val="nil"/>
              <w:bottom w:val="single" w:sz="8" w:space="0" w:color="auto"/>
              <w:right w:val="single" w:sz="8" w:space="0" w:color="auto"/>
            </w:tcBorders>
            <w:shd w:val="clear" w:color="000000" w:fill="FFFFFF"/>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69.0</w:t>
            </w:r>
          </w:p>
        </w:tc>
      </w:tr>
      <w:tr w:rsidR="005B393B" w:rsidRPr="006D4675" w:rsidTr="00E55591">
        <w:trPr>
          <w:trHeight w:val="421"/>
          <w:jc w:val="center"/>
        </w:trPr>
        <w:tc>
          <w:tcPr>
            <w:tcW w:w="1576" w:type="dxa"/>
            <w:tcBorders>
              <w:top w:val="nil"/>
              <w:left w:val="single" w:sz="8" w:space="0" w:color="auto"/>
              <w:bottom w:val="single" w:sz="8" w:space="0" w:color="auto"/>
              <w:right w:val="single" w:sz="8" w:space="0" w:color="auto"/>
            </w:tcBorders>
            <w:shd w:val="clear" w:color="auto" w:fill="auto"/>
            <w:noWrap/>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Uttarakhand</w:t>
            </w:r>
          </w:p>
        </w:tc>
        <w:tc>
          <w:tcPr>
            <w:tcW w:w="1726" w:type="dxa"/>
            <w:tcBorders>
              <w:top w:val="nil"/>
              <w:left w:val="nil"/>
              <w:bottom w:val="single" w:sz="8" w:space="0" w:color="auto"/>
              <w:right w:val="single" w:sz="8" w:space="0" w:color="auto"/>
            </w:tcBorders>
            <w:shd w:val="clear" w:color="auto" w:fill="auto"/>
            <w:noWrap/>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47.0</w:t>
            </w:r>
          </w:p>
        </w:tc>
        <w:tc>
          <w:tcPr>
            <w:tcW w:w="1669" w:type="dxa"/>
            <w:tcBorders>
              <w:top w:val="nil"/>
              <w:left w:val="nil"/>
              <w:bottom w:val="single" w:sz="8" w:space="0" w:color="auto"/>
              <w:right w:val="single" w:sz="8" w:space="0" w:color="auto"/>
            </w:tcBorders>
            <w:shd w:val="clear" w:color="000000" w:fill="FFFFFF"/>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48.0</w:t>
            </w:r>
          </w:p>
        </w:tc>
        <w:tc>
          <w:tcPr>
            <w:tcW w:w="1669" w:type="dxa"/>
            <w:tcBorders>
              <w:top w:val="nil"/>
              <w:left w:val="nil"/>
              <w:bottom w:val="single" w:sz="8" w:space="0" w:color="auto"/>
              <w:right w:val="single" w:sz="8" w:space="0" w:color="auto"/>
            </w:tcBorders>
            <w:shd w:val="clear" w:color="000000" w:fill="FFFFFF"/>
            <w:vAlign w:val="center"/>
            <w:hideMark/>
          </w:tcPr>
          <w:p w:rsidR="005B393B" w:rsidRPr="006D4675" w:rsidRDefault="005B393B" w:rsidP="006D4675">
            <w:pPr>
              <w:spacing w:after="0" w:line="240" w:lineRule="auto"/>
              <w:jc w:val="center"/>
              <w:rPr>
                <w:rFonts w:ascii="Calibri" w:eastAsia="Times New Roman" w:hAnsi="Calibri" w:cs="Times New Roman"/>
                <w:b/>
                <w:bCs/>
                <w:color w:val="000000"/>
              </w:rPr>
            </w:pPr>
            <w:r w:rsidRPr="006D4675">
              <w:rPr>
                <w:rFonts w:ascii="Calibri" w:eastAsia="Times New Roman" w:hAnsi="Calibri" w:cs="Times New Roman"/>
                <w:b/>
                <w:bCs/>
                <w:color w:val="000000"/>
              </w:rPr>
              <w:t>NA</w:t>
            </w:r>
          </w:p>
        </w:tc>
      </w:tr>
    </w:tbl>
    <w:p w:rsidR="00F32338" w:rsidRDefault="00F32338" w:rsidP="007B2B05">
      <w:pPr>
        <w:pStyle w:val="ListParagraph"/>
        <w:jc w:val="both"/>
        <w:rPr>
          <w:sz w:val="20"/>
        </w:rPr>
      </w:pPr>
    </w:p>
    <w:p w:rsidR="00D07A52" w:rsidRDefault="00D07A52" w:rsidP="007B2B05">
      <w:pPr>
        <w:pStyle w:val="ListParagraph"/>
        <w:jc w:val="both"/>
        <w:rPr>
          <w:sz w:val="20"/>
        </w:rPr>
      </w:pPr>
    </w:p>
    <w:p w:rsidR="00F32338" w:rsidRDefault="00F32338" w:rsidP="00E442FA">
      <w:pPr>
        <w:pStyle w:val="ListParagraph"/>
        <w:numPr>
          <w:ilvl w:val="0"/>
          <w:numId w:val="2"/>
        </w:numPr>
        <w:jc w:val="both"/>
      </w:pPr>
      <w:r>
        <w:rPr>
          <w:b/>
        </w:rPr>
        <w:t>Total Unmet Need</w:t>
      </w:r>
      <w:r w:rsidR="00B2271B">
        <w:rPr>
          <w:b/>
        </w:rPr>
        <w:t xml:space="preserve"> </w:t>
      </w:r>
      <w:proofErr w:type="gramStart"/>
      <w:r w:rsidR="00B2271B">
        <w:rPr>
          <w:b/>
          <w:bCs/>
        </w:rPr>
        <w:t>( Graph</w:t>
      </w:r>
      <w:proofErr w:type="gramEnd"/>
      <w:r w:rsidR="00B2271B">
        <w:rPr>
          <w:b/>
          <w:bCs/>
        </w:rPr>
        <w:t xml:space="preserve"> </w:t>
      </w:r>
      <w:r w:rsidR="00B2271B">
        <w:rPr>
          <w:b/>
          <w:bCs/>
        </w:rPr>
        <w:t>5</w:t>
      </w:r>
      <w:r w:rsidR="00B2271B">
        <w:rPr>
          <w:b/>
          <w:bCs/>
        </w:rPr>
        <w:t xml:space="preserve">): </w:t>
      </w:r>
      <w:r>
        <w:rPr>
          <w:b/>
        </w:rPr>
        <w:t xml:space="preserve"> </w:t>
      </w:r>
      <w:r w:rsidR="00571F4D">
        <w:rPr>
          <w:b/>
        </w:rPr>
        <w:t>:</w:t>
      </w:r>
      <w:r>
        <w:rPr>
          <w:b/>
        </w:rPr>
        <w:t xml:space="preserve"> </w:t>
      </w:r>
      <w:r>
        <w:t>Total unmet need for Bihar has</w:t>
      </w:r>
      <w:r w:rsidR="00571F4D">
        <w:t xml:space="preserve"> gone</w:t>
      </w:r>
      <w:r>
        <w:t xml:space="preserve"> down by 2.7 points, from 23.9 (NFHS III) to 21.2</w:t>
      </w:r>
      <w:r w:rsidR="00E442FA">
        <w:t xml:space="preserve"> (NFHS IV)</w:t>
      </w:r>
      <w:r>
        <w:t>.</w:t>
      </w:r>
      <w:r w:rsidR="00571F4D">
        <w:t xml:space="preserve"> </w:t>
      </w:r>
      <w:r w:rsidRPr="00F32338">
        <w:t>There is no change</w:t>
      </w:r>
      <w:r w:rsidR="00571F4D">
        <w:t xml:space="preserve"> seen </w:t>
      </w:r>
      <w:r w:rsidRPr="00F32338">
        <w:t>for M</w:t>
      </w:r>
      <w:r w:rsidR="00571F4D">
        <w:t xml:space="preserve">adhya </w:t>
      </w:r>
      <w:r w:rsidRPr="00F32338">
        <w:t>P</w:t>
      </w:r>
      <w:r w:rsidR="00571F4D">
        <w:t>radesh</w:t>
      </w:r>
      <w:r>
        <w:t>. In Uttarakhand, the unm</w:t>
      </w:r>
      <w:r w:rsidR="00E442FA">
        <w:t>et need has gone up from 12.6 (</w:t>
      </w:r>
      <w:r>
        <w:t>NFHS III) to 15.5 (NFHS IV)</w:t>
      </w:r>
      <w:r w:rsidR="00571F4D">
        <w:t>.</w:t>
      </w:r>
    </w:p>
    <w:p w:rsidR="005A510F" w:rsidRDefault="005A510F" w:rsidP="00571F4D">
      <w:pPr>
        <w:pStyle w:val="ListParagraph"/>
        <w:jc w:val="both"/>
      </w:pPr>
    </w:p>
    <w:p w:rsidR="005A510F" w:rsidRDefault="00726C09" w:rsidP="007B2B05">
      <w:pPr>
        <w:pStyle w:val="ListParagraph"/>
        <w:jc w:val="both"/>
      </w:pPr>
      <w:r>
        <w:t xml:space="preserve">Comparing NFHS IV AND AHS 2013 data, </w:t>
      </w:r>
      <w:r w:rsidR="005A510F">
        <w:t>AHS 2013 shows Total Unmet Need for Bihar is 31.5, whereas it is 21.2 as per NFHS IV. Similarly, for Madhya Pradesh, it is 21.6 as per AHS 2013 and 12.1 as per NFHS IV, whereas for Uttarakhand, the difference between NFHS IV and AHS 2013 data is of 0.2 points. It is 15.3 as per AHS 2013 and 15.5 as per NFHS IV</w:t>
      </w:r>
      <w:r>
        <w:t>.</w:t>
      </w:r>
    </w:p>
    <w:p w:rsidR="005A510F" w:rsidRDefault="005A510F" w:rsidP="007B2B05">
      <w:pPr>
        <w:pStyle w:val="ListParagraph"/>
        <w:jc w:val="both"/>
      </w:pPr>
    </w:p>
    <w:p w:rsidR="005A510F" w:rsidRDefault="005A510F" w:rsidP="007B2B05">
      <w:pPr>
        <w:pStyle w:val="ListParagraph"/>
        <w:jc w:val="both"/>
      </w:pPr>
    </w:p>
    <w:p w:rsidR="005A510F" w:rsidRDefault="005A510F" w:rsidP="007B2B05">
      <w:pPr>
        <w:pStyle w:val="ListParagraph"/>
        <w:jc w:val="both"/>
      </w:pPr>
    </w:p>
    <w:p w:rsidR="005A510F" w:rsidRDefault="005A510F" w:rsidP="007B2B05">
      <w:pPr>
        <w:pStyle w:val="ListParagraph"/>
        <w:jc w:val="both"/>
      </w:pPr>
    </w:p>
    <w:p w:rsidR="005A510F" w:rsidRDefault="005A510F" w:rsidP="007B2B05">
      <w:pPr>
        <w:pStyle w:val="ListParagraph"/>
        <w:jc w:val="both"/>
      </w:pPr>
    </w:p>
    <w:tbl>
      <w:tblPr>
        <w:tblW w:w="5267" w:type="dxa"/>
        <w:jc w:val="center"/>
        <w:tblInd w:w="93" w:type="dxa"/>
        <w:tblLook w:val="04A0" w:firstRow="1" w:lastRow="0" w:firstColumn="1" w:lastColumn="0" w:noHBand="0" w:noVBand="1"/>
      </w:tblPr>
      <w:tblGrid>
        <w:gridCol w:w="1720"/>
        <w:gridCol w:w="1890"/>
        <w:gridCol w:w="1657"/>
      </w:tblGrid>
      <w:tr w:rsidR="005A510F" w:rsidRPr="005A510F" w:rsidTr="007C6D22">
        <w:trPr>
          <w:trHeight w:val="615"/>
          <w:jc w:val="center"/>
        </w:trPr>
        <w:tc>
          <w:tcPr>
            <w:tcW w:w="5267" w:type="dxa"/>
            <w:gridSpan w:val="3"/>
            <w:tcBorders>
              <w:top w:val="single" w:sz="8" w:space="0" w:color="auto"/>
              <w:left w:val="single" w:sz="8" w:space="0" w:color="auto"/>
              <w:bottom w:val="single" w:sz="8" w:space="0" w:color="auto"/>
              <w:right w:val="single" w:sz="8" w:space="0" w:color="000000"/>
            </w:tcBorders>
            <w:shd w:val="clear" w:color="000000" w:fill="F2DCDB"/>
            <w:vAlign w:val="center"/>
            <w:hideMark/>
          </w:tcPr>
          <w:p w:rsidR="005A510F" w:rsidRPr="007C6D22" w:rsidRDefault="005A510F" w:rsidP="007C6D22">
            <w:pPr>
              <w:spacing w:after="0" w:line="240" w:lineRule="auto"/>
              <w:jc w:val="center"/>
              <w:rPr>
                <w:rFonts w:ascii="Arial" w:eastAsia="Times New Roman" w:hAnsi="Arial" w:cs="Arial"/>
                <w:b/>
                <w:bCs/>
                <w:sz w:val="20"/>
                <w:szCs w:val="18"/>
              </w:rPr>
            </w:pPr>
            <w:r w:rsidRPr="007C6D22">
              <w:rPr>
                <w:rFonts w:ascii="Arial" w:eastAsia="Times New Roman" w:hAnsi="Arial" w:cs="Arial"/>
                <w:b/>
                <w:bCs/>
                <w:sz w:val="20"/>
                <w:szCs w:val="18"/>
              </w:rPr>
              <w:t>Total Unmet Need</w:t>
            </w:r>
          </w:p>
        </w:tc>
      </w:tr>
      <w:tr w:rsidR="005A510F" w:rsidRPr="005A510F" w:rsidTr="007C6D22">
        <w:trPr>
          <w:trHeight w:val="735"/>
          <w:jc w:val="center"/>
        </w:trPr>
        <w:tc>
          <w:tcPr>
            <w:tcW w:w="1720" w:type="dxa"/>
            <w:tcBorders>
              <w:top w:val="nil"/>
              <w:left w:val="single" w:sz="8" w:space="0" w:color="auto"/>
              <w:bottom w:val="single" w:sz="8" w:space="0" w:color="auto"/>
              <w:right w:val="single" w:sz="8" w:space="0" w:color="auto"/>
            </w:tcBorders>
            <w:shd w:val="clear" w:color="000000" w:fill="D9D9D9"/>
            <w:noWrap/>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States</w:t>
            </w:r>
          </w:p>
        </w:tc>
        <w:tc>
          <w:tcPr>
            <w:tcW w:w="1890" w:type="dxa"/>
            <w:tcBorders>
              <w:top w:val="nil"/>
              <w:left w:val="nil"/>
              <w:bottom w:val="single" w:sz="8" w:space="0" w:color="auto"/>
              <w:right w:val="single" w:sz="8" w:space="0" w:color="auto"/>
            </w:tcBorders>
            <w:shd w:val="clear" w:color="000000" w:fill="D9D9D9"/>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NFHS IV (2015-16)</w:t>
            </w:r>
          </w:p>
        </w:tc>
        <w:tc>
          <w:tcPr>
            <w:tcW w:w="1657" w:type="dxa"/>
            <w:tcBorders>
              <w:top w:val="nil"/>
              <w:left w:val="nil"/>
              <w:bottom w:val="single" w:sz="8" w:space="0" w:color="auto"/>
              <w:right w:val="single" w:sz="8" w:space="0" w:color="auto"/>
            </w:tcBorders>
            <w:shd w:val="clear" w:color="000000" w:fill="D9D9D9"/>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AHS 2013</w:t>
            </w:r>
          </w:p>
        </w:tc>
      </w:tr>
      <w:tr w:rsidR="005A510F" w:rsidRPr="005A510F" w:rsidTr="007C6D22">
        <w:trPr>
          <w:trHeight w:val="315"/>
          <w:jc w:val="center"/>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Bihar</w:t>
            </w:r>
          </w:p>
        </w:tc>
        <w:tc>
          <w:tcPr>
            <w:tcW w:w="1890" w:type="dxa"/>
            <w:tcBorders>
              <w:top w:val="single" w:sz="4" w:space="0" w:color="auto"/>
              <w:left w:val="nil"/>
              <w:bottom w:val="nil"/>
              <w:right w:val="nil"/>
            </w:tcBorders>
            <w:shd w:val="clear" w:color="000000" w:fill="FFFFFF"/>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21.2</w:t>
            </w:r>
          </w:p>
        </w:tc>
        <w:tc>
          <w:tcPr>
            <w:tcW w:w="1657" w:type="dxa"/>
            <w:tcBorders>
              <w:top w:val="nil"/>
              <w:left w:val="single" w:sz="8" w:space="0" w:color="auto"/>
              <w:bottom w:val="single" w:sz="8" w:space="0" w:color="auto"/>
              <w:right w:val="single" w:sz="8" w:space="0" w:color="auto"/>
            </w:tcBorders>
            <w:shd w:val="clear" w:color="000000" w:fill="FFFFFF"/>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31.5</w:t>
            </w:r>
          </w:p>
        </w:tc>
      </w:tr>
      <w:tr w:rsidR="005A510F" w:rsidRPr="005A510F" w:rsidTr="007C6D22">
        <w:trPr>
          <w:trHeight w:val="615"/>
          <w:jc w:val="center"/>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Madhya Pradesh</w:t>
            </w:r>
          </w:p>
        </w:tc>
        <w:tc>
          <w:tcPr>
            <w:tcW w:w="1890" w:type="dxa"/>
            <w:tcBorders>
              <w:top w:val="single" w:sz="8" w:space="0" w:color="auto"/>
              <w:left w:val="nil"/>
              <w:bottom w:val="single" w:sz="8" w:space="0" w:color="auto"/>
              <w:right w:val="single" w:sz="8" w:space="0" w:color="auto"/>
            </w:tcBorders>
            <w:shd w:val="clear" w:color="000000" w:fill="FFFFFF"/>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12.1</w:t>
            </w:r>
          </w:p>
        </w:tc>
        <w:tc>
          <w:tcPr>
            <w:tcW w:w="1657" w:type="dxa"/>
            <w:tcBorders>
              <w:top w:val="nil"/>
              <w:left w:val="nil"/>
              <w:bottom w:val="single" w:sz="8" w:space="0" w:color="auto"/>
              <w:right w:val="single" w:sz="8" w:space="0" w:color="auto"/>
            </w:tcBorders>
            <w:shd w:val="clear" w:color="000000" w:fill="FFFFFF"/>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21.6</w:t>
            </w:r>
          </w:p>
        </w:tc>
      </w:tr>
      <w:tr w:rsidR="005A510F" w:rsidRPr="005A510F" w:rsidTr="007C6D22">
        <w:trPr>
          <w:trHeight w:val="495"/>
          <w:jc w:val="center"/>
        </w:trPr>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Uttarakhand</w:t>
            </w:r>
          </w:p>
        </w:tc>
        <w:tc>
          <w:tcPr>
            <w:tcW w:w="1890" w:type="dxa"/>
            <w:tcBorders>
              <w:top w:val="nil"/>
              <w:left w:val="nil"/>
              <w:bottom w:val="single" w:sz="8" w:space="0" w:color="auto"/>
              <w:right w:val="single" w:sz="8" w:space="0" w:color="auto"/>
            </w:tcBorders>
            <w:shd w:val="clear" w:color="000000" w:fill="FFFFFF"/>
            <w:noWrap/>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15.5</w:t>
            </w:r>
          </w:p>
        </w:tc>
        <w:tc>
          <w:tcPr>
            <w:tcW w:w="1657" w:type="dxa"/>
            <w:tcBorders>
              <w:top w:val="nil"/>
              <w:left w:val="nil"/>
              <w:bottom w:val="single" w:sz="8" w:space="0" w:color="auto"/>
              <w:right w:val="single" w:sz="8" w:space="0" w:color="auto"/>
            </w:tcBorders>
            <w:shd w:val="clear" w:color="000000" w:fill="FFFFFF"/>
            <w:vAlign w:val="center"/>
            <w:hideMark/>
          </w:tcPr>
          <w:p w:rsidR="005A510F" w:rsidRPr="005A510F" w:rsidRDefault="005A510F" w:rsidP="007C6D22">
            <w:pPr>
              <w:spacing w:after="0" w:line="240" w:lineRule="auto"/>
              <w:jc w:val="center"/>
              <w:rPr>
                <w:rFonts w:ascii="Calibri" w:eastAsia="Times New Roman" w:hAnsi="Calibri" w:cs="Times New Roman"/>
                <w:b/>
                <w:bCs/>
                <w:color w:val="000000"/>
              </w:rPr>
            </w:pPr>
            <w:r w:rsidRPr="005A510F">
              <w:rPr>
                <w:rFonts w:ascii="Calibri" w:eastAsia="Times New Roman" w:hAnsi="Calibri" w:cs="Times New Roman"/>
                <w:b/>
                <w:bCs/>
                <w:color w:val="000000"/>
              </w:rPr>
              <w:t>15.3</w:t>
            </w:r>
          </w:p>
        </w:tc>
      </w:tr>
    </w:tbl>
    <w:p w:rsidR="005A510F" w:rsidRDefault="005A510F" w:rsidP="007B2B05">
      <w:pPr>
        <w:pStyle w:val="ListParagraph"/>
        <w:jc w:val="both"/>
      </w:pPr>
    </w:p>
    <w:p w:rsidR="00F32338" w:rsidRDefault="00F32338" w:rsidP="007B2B05">
      <w:pPr>
        <w:pStyle w:val="ListParagraph"/>
        <w:jc w:val="both"/>
      </w:pPr>
    </w:p>
    <w:p w:rsidR="00F32338" w:rsidRPr="009C2789" w:rsidRDefault="00F32338" w:rsidP="00E442FA">
      <w:pPr>
        <w:pStyle w:val="ListParagraph"/>
        <w:numPr>
          <w:ilvl w:val="0"/>
          <w:numId w:val="2"/>
        </w:numPr>
        <w:jc w:val="both"/>
        <w:rPr>
          <w:b/>
        </w:rPr>
      </w:pPr>
      <w:r>
        <w:rPr>
          <w:b/>
        </w:rPr>
        <w:t>Antena</w:t>
      </w:r>
      <w:r w:rsidR="007A0160">
        <w:rPr>
          <w:b/>
        </w:rPr>
        <w:t>tal Check Up in First Trimester</w:t>
      </w:r>
      <w:r w:rsidR="00B2271B">
        <w:rPr>
          <w:b/>
        </w:rPr>
        <w:t xml:space="preserve"> </w:t>
      </w:r>
      <w:proofErr w:type="gramStart"/>
      <w:r w:rsidR="00B2271B">
        <w:rPr>
          <w:b/>
          <w:bCs/>
        </w:rPr>
        <w:t>( Graph</w:t>
      </w:r>
      <w:proofErr w:type="gramEnd"/>
      <w:r w:rsidR="00B2271B">
        <w:rPr>
          <w:b/>
          <w:bCs/>
        </w:rPr>
        <w:t xml:space="preserve"> 6</w:t>
      </w:r>
      <w:r w:rsidR="00B2271B">
        <w:rPr>
          <w:b/>
          <w:bCs/>
        </w:rPr>
        <w:t>):</w:t>
      </w:r>
      <w:r w:rsidR="0013509F">
        <w:rPr>
          <w:b/>
        </w:rPr>
        <w:t xml:space="preserve">: </w:t>
      </w:r>
      <w:r w:rsidR="009C2789">
        <w:t>All the three states have shown rise from NFHS III to NFHS IV for this indicator. Bihar has gone up from 18.7 %</w:t>
      </w:r>
      <w:r w:rsidR="0013509F">
        <w:t xml:space="preserve"> (NFHS III)</w:t>
      </w:r>
      <w:r w:rsidR="009C2789">
        <w:t xml:space="preserve"> to 34.6%</w:t>
      </w:r>
      <w:r w:rsidR="0013509F">
        <w:t xml:space="preserve"> (NFHS IV)</w:t>
      </w:r>
      <w:r w:rsidR="009C2789">
        <w:t>, M</w:t>
      </w:r>
      <w:r w:rsidR="0013509F">
        <w:t xml:space="preserve">adhya </w:t>
      </w:r>
      <w:r w:rsidR="009C2789">
        <w:t>P</w:t>
      </w:r>
      <w:r w:rsidR="0013509F">
        <w:t>radesh</w:t>
      </w:r>
      <w:r w:rsidR="009C2789">
        <w:t xml:space="preserve"> has gone up from 39.3 %</w:t>
      </w:r>
      <w:r w:rsidR="0013509F">
        <w:t xml:space="preserve"> (NFHS III) </w:t>
      </w:r>
      <w:r w:rsidR="009C2789">
        <w:t xml:space="preserve">to 53.1% </w:t>
      </w:r>
      <w:r w:rsidR="0013509F">
        <w:t xml:space="preserve">(NFHS IV) </w:t>
      </w:r>
      <w:r w:rsidR="009C2789">
        <w:t>and Uttarakhand has gone up from 43.3</w:t>
      </w:r>
      <w:r w:rsidR="004069BB">
        <w:t>%</w:t>
      </w:r>
      <w:r w:rsidR="0013509F">
        <w:t xml:space="preserve"> (NFHS III</w:t>
      </w:r>
      <w:r w:rsidR="00B94E47">
        <w:t>)</w:t>
      </w:r>
      <w:r w:rsidR="0013509F">
        <w:t xml:space="preserve"> </w:t>
      </w:r>
      <w:r w:rsidR="009C2789">
        <w:t>to 53.5</w:t>
      </w:r>
      <w:r w:rsidR="004069BB">
        <w:t>%</w:t>
      </w:r>
      <w:r w:rsidR="0013509F">
        <w:t xml:space="preserve"> (NFHS IV).</w:t>
      </w:r>
    </w:p>
    <w:p w:rsidR="009C2789" w:rsidRPr="009C2789" w:rsidRDefault="009C2789" w:rsidP="007B2B05">
      <w:pPr>
        <w:pStyle w:val="ListParagraph"/>
        <w:jc w:val="both"/>
        <w:rPr>
          <w:b/>
        </w:rPr>
      </w:pPr>
    </w:p>
    <w:p w:rsidR="009C2789" w:rsidRPr="009C3199" w:rsidRDefault="004069BB" w:rsidP="00E442FA">
      <w:pPr>
        <w:pStyle w:val="ListParagraph"/>
        <w:numPr>
          <w:ilvl w:val="0"/>
          <w:numId w:val="2"/>
        </w:numPr>
        <w:jc w:val="both"/>
        <w:rPr>
          <w:b/>
        </w:rPr>
      </w:pPr>
      <w:r>
        <w:rPr>
          <w:b/>
        </w:rPr>
        <w:t>At least</w:t>
      </w:r>
      <w:r w:rsidR="00093A82">
        <w:rPr>
          <w:b/>
        </w:rPr>
        <w:t xml:space="preserve"> 4 A</w:t>
      </w:r>
      <w:r>
        <w:rPr>
          <w:b/>
        </w:rPr>
        <w:t>nte</w:t>
      </w:r>
      <w:r w:rsidR="00093A82">
        <w:rPr>
          <w:b/>
        </w:rPr>
        <w:t xml:space="preserve">natal Care </w:t>
      </w:r>
      <w:r w:rsidR="00D07A52">
        <w:rPr>
          <w:b/>
        </w:rPr>
        <w:t>Visits</w:t>
      </w:r>
      <w:r w:rsidR="00B2271B">
        <w:rPr>
          <w:b/>
        </w:rPr>
        <w:t xml:space="preserve"> </w:t>
      </w:r>
      <w:proofErr w:type="gramStart"/>
      <w:r w:rsidR="00B2271B">
        <w:rPr>
          <w:b/>
          <w:bCs/>
        </w:rPr>
        <w:t>( Graph</w:t>
      </w:r>
      <w:proofErr w:type="gramEnd"/>
      <w:r w:rsidR="00B2271B">
        <w:rPr>
          <w:b/>
          <w:bCs/>
        </w:rPr>
        <w:t xml:space="preserve"> </w:t>
      </w:r>
      <w:r w:rsidR="00B2271B">
        <w:rPr>
          <w:b/>
          <w:bCs/>
        </w:rPr>
        <w:t>7</w:t>
      </w:r>
      <w:r w:rsidR="00B2271B">
        <w:rPr>
          <w:b/>
          <w:bCs/>
        </w:rPr>
        <w:t>):</w:t>
      </w:r>
      <w:r w:rsidR="00D07A52">
        <w:rPr>
          <w:b/>
        </w:rPr>
        <w:t>:</w:t>
      </w:r>
      <w:r w:rsidR="006E67E8">
        <w:rPr>
          <w:b/>
        </w:rPr>
        <w:t xml:space="preserve"> </w:t>
      </w:r>
      <w:r w:rsidR="006E67E8">
        <w:t xml:space="preserve">At least 4 ANC visits in Bihar </w:t>
      </w:r>
      <w:r w:rsidR="00093A82">
        <w:t>has gone up from 11.2%</w:t>
      </w:r>
      <w:r w:rsidR="009C3199">
        <w:t xml:space="preserve"> (NFHSIII) to 14.4% (NFHS IV)</w:t>
      </w:r>
      <w:r w:rsidR="00D07A52">
        <w:t>.</w:t>
      </w:r>
      <w:r w:rsidR="009C3199">
        <w:t xml:space="preserve"> </w:t>
      </w:r>
      <w:r w:rsidR="006E67E8">
        <w:t>In MP, it has increased from 22.3% (NFHS III) to 35.7% (NFHS IV).</w:t>
      </w:r>
      <w:r w:rsidR="007A0160">
        <w:t xml:space="preserve"> Uttarakhand </w:t>
      </w:r>
      <w:r w:rsidR="009C3199">
        <w:t>has shown decline of 4 points, from 34.9%</w:t>
      </w:r>
      <w:r w:rsidR="007A0160">
        <w:t xml:space="preserve"> </w:t>
      </w:r>
      <w:r w:rsidR="006E67E8">
        <w:t>(NFHS III</w:t>
      </w:r>
      <w:proofErr w:type="gramStart"/>
      <w:r w:rsidR="006E67E8">
        <w:t xml:space="preserve">) </w:t>
      </w:r>
      <w:r w:rsidR="009C3199">
        <w:t xml:space="preserve"> to</w:t>
      </w:r>
      <w:proofErr w:type="gramEnd"/>
      <w:r w:rsidR="009C3199">
        <w:t xml:space="preserve"> 30.9%</w:t>
      </w:r>
      <w:r w:rsidR="006E67E8">
        <w:t xml:space="preserve"> (NFHS IV).</w:t>
      </w:r>
    </w:p>
    <w:p w:rsidR="009C3199" w:rsidRPr="009C3199" w:rsidRDefault="009C3199" w:rsidP="007B2B05">
      <w:pPr>
        <w:pStyle w:val="ListParagraph"/>
        <w:jc w:val="both"/>
        <w:rPr>
          <w:b/>
        </w:rPr>
      </w:pPr>
    </w:p>
    <w:p w:rsidR="009C3199" w:rsidRPr="001E7742" w:rsidRDefault="009C3199" w:rsidP="00E442FA">
      <w:pPr>
        <w:pStyle w:val="ListParagraph"/>
        <w:numPr>
          <w:ilvl w:val="0"/>
          <w:numId w:val="2"/>
        </w:numPr>
        <w:jc w:val="both"/>
        <w:rPr>
          <w:b/>
        </w:rPr>
      </w:pPr>
      <w:r>
        <w:rPr>
          <w:b/>
        </w:rPr>
        <w:t xml:space="preserve">Mothers Receiving PNC from Skilled Health </w:t>
      </w:r>
      <w:r w:rsidR="00D07A52">
        <w:rPr>
          <w:b/>
        </w:rPr>
        <w:t>Personnel within</w:t>
      </w:r>
      <w:r>
        <w:rPr>
          <w:b/>
        </w:rPr>
        <w:t xml:space="preserve"> 2 Days of </w:t>
      </w:r>
      <w:proofErr w:type="gramStart"/>
      <w:r>
        <w:rPr>
          <w:b/>
        </w:rPr>
        <w:t>Delivery</w:t>
      </w:r>
      <w:r w:rsidR="00B2271B">
        <w:rPr>
          <w:b/>
          <w:bCs/>
        </w:rPr>
        <w:t>(</w:t>
      </w:r>
      <w:proofErr w:type="gramEnd"/>
      <w:r w:rsidR="00B2271B">
        <w:rPr>
          <w:b/>
          <w:bCs/>
        </w:rPr>
        <w:t xml:space="preserve"> Graph </w:t>
      </w:r>
      <w:r w:rsidR="00B2271B">
        <w:rPr>
          <w:b/>
          <w:bCs/>
        </w:rPr>
        <w:t>8</w:t>
      </w:r>
      <w:r w:rsidR="00B2271B">
        <w:rPr>
          <w:b/>
          <w:bCs/>
        </w:rPr>
        <w:t xml:space="preserve">): </w:t>
      </w:r>
      <w:r>
        <w:rPr>
          <w:b/>
        </w:rPr>
        <w:t xml:space="preserve"> – </w:t>
      </w:r>
      <w:r>
        <w:t xml:space="preserve">There is substantial increase for this indicator </w:t>
      </w:r>
      <w:r w:rsidR="00B94E47">
        <w:t>in</w:t>
      </w:r>
      <w:r>
        <w:t xml:space="preserve"> all the three states. In Bihar it has gone up from 13.4 % (NFHS III) to 42.3% (NFHS IV); MP has gone up from </w:t>
      </w:r>
      <w:r w:rsidR="001E7742">
        <w:t xml:space="preserve">24.9% </w:t>
      </w:r>
      <w:r w:rsidR="00B94E47">
        <w:t xml:space="preserve">(NFHS III) </w:t>
      </w:r>
      <w:r w:rsidR="001E7742">
        <w:t xml:space="preserve">to 55% </w:t>
      </w:r>
      <w:r w:rsidR="00B94E47">
        <w:t xml:space="preserve">(NFHS IV) </w:t>
      </w:r>
      <w:r w:rsidR="001E7742">
        <w:t>and Uttarakhand has s</w:t>
      </w:r>
      <w:r w:rsidR="00B94E47">
        <w:t>hown an increase of 27.1 points</w:t>
      </w:r>
      <w:r w:rsidR="001E7742">
        <w:t>, from27.7%</w:t>
      </w:r>
      <w:r w:rsidR="00B94E47">
        <w:t xml:space="preserve"> (NFHS III)</w:t>
      </w:r>
      <w:r w:rsidR="001E7742">
        <w:t xml:space="preserve"> to 54.8%</w:t>
      </w:r>
      <w:r w:rsidR="00B94E47">
        <w:t xml:space="preserve"> (NFHS IV).</w:t>
      </w:r>
    </w:p>
    <w:p w:rsidR="001E7742" w:rsidRPr="001E7742" w:rsidRDefault="001E7742" w:rsidP="007B2B05">
      <w:pPr>
        <w:pStyle w:val="ListParagraph"/>
        <w:jc w:val="both"/>
        <w:rPr>
          <w:b/>
        </w:rPr>
      </w:pPr>
    </w:p>
    <w:p w:rsidR="001E7742" w:rsidRPr="00453EDB" w:rsidRDefault="001E7742" w:rsidP="00E442FA">
      <w:pPr>
        <w:pStyle w:val="ListParagraph"/>
        <w:numPr>
          <w:ilvl w:val="0"/>
          <w:numId w:val="2"/>
        </w:numPr>
        <w:jc w:val="both"/>
        <w:rPr>
          <w:b/>
        </w:rPr>
      </w:pPr>
      <w:r>
        <w:rPr>
          <w:b/>
        </w:rPr>
        <w:t xml:space="preserve">Average Out of Pocket Expenditure per Delivery in Public </w:t>
      </w:r>
      <w:r w:rsidR="006B36A2">
        <w:rPr>
          <w:b/>
        </w:rPr>
        <w:t>Health Facility</w:t>
      </w:r>
      <w:r w:rsidR="00B2271B">
        <w:rPr>
          <w:b/>
        </w:rPr>
        <w:t xml:space="preserve"> </w:t>
      </w:r>
      <w:proofErr w:type="gramStart"/>
      <w:r w:rsidR="00B2271B">
        <w:rPr>
          <w:b/>
          <w:bCs/>
        </w:rPr>
        <w:t>( Graph</w:t>
      </w:r>
      <w:proofErr w:type="gramEnd"/>
      <w:r w:rsidR="00B2271B">
        <w:rPr>
          <w:b/>
          <w:bCs/>
        </w:rPr>
        <w:t xml:space="preserve"> </w:t>
      </w:r>
      <w:r w:rsidR="00B2271B">
        <w:rPr>
          <w:b/>
          <w:bCs/>
        </w:rPr>
        <w:t>9</w:t>
      </w:r>
      <w:r w:rsidR="00B2271B">
        <w:rPr>
          <w:b/>
          <w:bCs/>
        </w:rPr>
        <w:t xml:space="preserve">): </w:t>
      </w:r>
      <w:r w:rsidR="006B36A2">
        <w:rPr>
          <w:b/>
        </w:rPr>
        <w:t>-</w:t>
      </w:r>
      <w:r>
        <w:t>NFHS IV has done survey for</w:t>
      </w:r>
      <w:r w:rsidR="006D36E3">
        <w:t xml:space="preserve"> this indicator </w:t>
      </w:r>
      <w:r w:rsidR="00A061C7">
        <w:t xml:space="preserve">for </w:t>
      </w:r>
      <w:r>
        <w:t xml:space="preserve">the first time. </w:t>
      </w:r>
      <w:r w:rsidR="00A061C7">
        <w:t>Among</w:t>
      </w:r>
      <w:r w:rsidR="00A91F39">
        <w:t>st</w:t>
      </w:r>
      <w:r w:rsidR="00A061C7">
        <w:t xml:space="preserve"> the three states, </w:t>
      </w:r>
      <w:r>
        <w:t>MP has shown the minimum</w:t>
      </w:r>
      <w:r w:rsidR="00A061C7">
        <w:t xml:space="preserve"> average out of pocket expenditure, Rs1387 per delivery in public health facility</w:t>
      </w:r>
      <w:r>
        <w:t xml:space="preserve">, followed by </w:t>
      </w:r>
      <w:proofErr w:type="spellStart"/>
      <w:r>
        <w:t>Rs</w:t>
      </w:r>
      <w:proofErr w:type="spellEnd"/>
      <w:r>
        <w:t xml:space="preserve"> 1724/-</w:t>
      </w:r>
      <w:r w:rsidR="00A061C7">
        <w:t xml:space="preserve"> in Bihar</w:t>
      </w:r>
      <w:r>
        <w:t xml:space="preserve">. For Uttarakhand, it is </w:t>
      </w:r>
      <w:proofErr w:type="spellStart"/>
      <w:r>
        <w:t>Rs</w:t>
      </w:r>
      <w:proofErr w:type="spellEnd"/>
      <w:r>
        <w:t xml:space="preserve"> 2399/-</w:t>
      </w:r>
      <w:r w:rsidR="00A061C7">
        <w:t>.</w:t>
      </w:r>
    </w:p>
    <w:p w:rsidR="00453EDB" w:rsidRPr="00453EDB" w:rsidRDefault="00453EDB" w:rsidP="007B2B05">
      <w:pPr>
        <w:pStyle w:val="ListParagraph"/>
        <w:jc w:val="both"/>
        <w:rPr>
          <w:b/>
        </w:rPr>
      </w:pPr>
    </w:p>
    <w:p w:rsidR="00453EDB" w:rsidRDefault="007A0160" w:rsidP="00E442FA">
      <w:pPr>
        <w:pStyle w:val="ListParagraph"/>
        <w:numPr>
          <w:ilvl w:val="0"/>
          <w:numId w:val="2"/>
        </w:numPr>
        <w:jc w:val="both"/>
      </w:pPr>
      <w:r>
        <w:rPr>
          <w:b/>
        </w:rPr>
        <w:t xml:space="preserve">Institutional </w:t>
      </w:r>
      <w:r w:rsidR="00453EDB">
        <w:rPr>
          <w:b/>
        </w:rPr>
        <w:t>Births</w:t>
      </w:r>
      <w:r w:rsidR="00B2271B">
        <w:rPr>
          <w:b/>
        </w:rPr>
        <w:t xml:space="preserve"> </w:t>
      </w:r>
      <w:proofErr w:type="gramStart"/>
      <w:r w:rsidR="00B2271B">
        <w:rPr>
          <w:b/>
          <w:bCs/>
        </w:rPr>
        <w:t>( Graph</w:t>
      </w:r>
      <w:proofErr w:type="gramEnd"/>
      <w:r w:rsidR="00B2271B">
        <w:rPr>
          <w:b/>
          <w:bCs/>
        </w:rPr>
        <w:t xml:space="preserve"> 1</w:t>
      </w:r>
      <w:r w:rsidR="00B2271B">
        <w:rPr>
          <w:b/>
          <w:bCs/>
        </w:rPr>
        <w:t>0</w:t>
      </w:r>
      <w:r w:rsidR="00B2271B">
        <w:rPr>
          <w:b/>
          <w:bCs/>
        </w:rPr>
        <w:t xml:space="preserve">): </w:t>
      </w:r>
      <w:r w:rsidR="00453EDB">
        <w:rPr>
          <w:b/>
        </w:rPr>
        <w:t xml:space="preserve"> – </w:t>
      </w:r>
      <w:r w:rsidR="00A91F39">
        <w:t>T</w:t>
      </w:r>
      <w:r w:rsidR="00453EDB">
        <w:t xml:space="preserve">he Institutional deliveries have gone up </w:t>
      </w:r>
      <w:r w:rsidR="00A91F39">
        <w:t xml:space="preserve">by three times in Bihar and MP. In Bihar, it has gone </w:t>
      </w:r>
      <w:r w:rsidR="00453EDB">
        <w:t xml:space="preserve">from </w:t>
      </w:r>
      <w:r w:rsidR="00A91F39">
        <w:t>19.9% (NFHS III) to 63.8% (NFHS IV). I</w:t>
      </w:r>
      <w:r w:rsidR="00453EDB">
        <w:t xml:space="preserve">n MP, it has gone up from 26.2% to 80.8% and in </w:t>
      </w:r>
      <w:proofErr w:type="gramStart"/>
      <w:r w:rsidR="00453EDB">
        <w:t>Uttarakhand,</w:t>
      </w:r>
      <w:proofErr w:type="gramEnd"/>
      <w:r w:rsidR="00453EDB">
        <w:t xml:space="preserve"> it has increased from 32.6% to 68.6%</w:t>
      </w:r>
      <w:r w:rsidR="00A91F39">
        <w:t>.</w:t>
      </w:r>
    </w:p>
    <w:p w:rsidR="00453EDB" w:rsidRDefault="00453EDB" w:rsidP="007B2B05">
      <w:pPr>
        <w:pStyle w:val="ListParagraph"/>
        <w:jc w:val="both"/>
      </w:pPr>
    </w:p>
    <w:p w:rsidR="00453EDB" w:rsidRDefault="00453EDB" w:rsidP="007B2B05">
      <w:pPr>
        <w:pStyle w:val="ListParagraph"/>
        <w:jc w:val="both"/>
      </w:pPr>
    </w:p>
    <w:p w:rsidR="009C364C" w:rsidRPr="007A0160" w:rsidRDefault="00453EDB" w:rsidP="007B2B05">
      <w:pPr>
        <w:pStyle w:val="ListParagraph"/>
        <w:numPr>
          <w:ilvl w:val="0"/>
          <w:numId w:val="2"/>
        </w:numPr>
        <w:jc w:val="both"/>
        <w:rPr>
          <w:b/>
        </w:rPr>
      </w:pPr>
      <w:r>
        <w:rPr>
          <w:b/>
        </w:rPr>
        <w:t xml:space="preserve">Institutional Births in Public </w:t>
      </w:r>
      <w:proofErr w:type="gramStart"/>
      <w:r>
        <w:rPr>
          <w:b/>
        </w:rPr>
        <w:t>Facility</w:t>
      </w:r>
      <w:r w:rsidR="00B2271B">
        <w:rPr>
          <w:b/>
          <w:bCs/>
        </w:rPr>
        <w:t>(</w:t>
      </w:r>
      <w:proofErr w:type="gramEnd"/>
      <w:r w:rsidR="00B2271B">
        <w:rPr>
          <w:b/>
          <w:bCs/>
        </w:rPr>
        <w:t xml:space="preserve"> Graph </w:t>
      </w:r>
      <w:r w:rsidR="00B2271B">
        <w:rPr>
          <w:b/>
          <w:bCs/>
        </w:rPr>
        <w:t>1</w:t>
      </w:r>
      <w:r w:rsidR="00B2271B">
        <w:rPr>
          <w:b/>
          <w:bCs/>
        </w:rPr>
        <w:t xml:space="preserve">1): </w:t>
      </w:r>
      <w:r>
        <w:rPr>
          <w:b/>
        </w:rPr>
        <w:t xml:space="preserve"> </w:t>
      </w:r>
      <w:r w:rsidR="009C364C">
        <w:rPr>
          <w:b/>
        </w:rPr>
        <w:t>–</w:t>
      </w:r>
      <w:r w:rsidR="00A91F39" w:rsidRPr="00A91F39">
        <w:t xml:space="preserve"> </w:t>
      </w:r>
      <w:r w:rsidR="00A91F39">
        <w:t>Among the three states, MP has shown h</w:t>
      </w:r>
      <w:r w:rsidR="009C364C">
        <w:t xml:space="preserve">ighest </w:t>
      </w:r>
      <w:r w:rsidR="00BD5B34">
        <w:t xml:space="preserve">percentage of </w:t>
      </w:r>
      <w:r w:rsidR="009C364C">
        <w:t xml:space="preserve">births in public facility </w:t>
      </w:r>
      <w:r w:rsidR="00A91F39">
        <w:t>as</w:t>
      </w:r>
      <w:r w:rsidR="009C364C">
        <w:t xml:space="preserve"> 69.5% as per NFHS IV. It has gone up from 18.4% (NFHS</w:t>
      </w:r>
      <w:r w:rsidR="00BD5B34">
        <w:t xml:space="preserve"> </w:t>
      </w:r>
      <w:r w:rsidR="009C364C">
        <w:t>III). In Bihar it has gone up from 3.5%</w:t>
      </w:r>
      <w:r w:rsidR="00BD5B34">
        <w:t xml:space="preserve"> (NFHS III) </w:t>
      </w:r>
      <w:r w:rsidR="009C364C">
        <w:t>to 47.7%</w:t>
      </w:r>
      <w:r w:rsidR="00BD5B34">
        <w:t xml:space="preserve"> (NFHS IV)</w:t>
      </w:r>
      <w:r w:rsidR="009C364C">
        <w:t xml:space="preserve"> and in </w:t>
      </w:r>
      <w:proofErr w:type="gramStart"/>
      <w:r w:rsidR="009C364C">
        <w:t>Uttarakhand ,</w:t>
      </w:r>
      <w:proofErr w:type="gramEnd"/>
      <w:r w:rsidR="009C364C">
        <w:t xml:space="preserve"> from 15.7</w:t>
      </w:r>
      <w:r w:rsidR="00BD5B34">
        <w:t>% (NFHS III)</w:t>
      </w:r>
      <w:r w:rsidR="009C364C">
        <w:t xml:space="preserve"> to 43.8%</w:t>
      </w:r>
      <w:r w:rsidR="00BD5B34">
        <w:t xml:space="preserve"> (NFHS IV).</w:t>
      </w:r>
    </w:p>
    <w:p w:rsidR="007A0160" w:rsidRPr="007A0160" w:rsidRDefault="007A0160" w:rsidP="007A0160">
      <w:pPr>
        <w:pStyle w:val="ListParagraph"/>
        <w:jc w:val="both"/>
        <w:rPr>
          <w:b/>
        </w:rPr>
      </w:pPr>
    </w:p>
    <w:p w:rsidR="00245044" w:rsidRPr="00BD5B34" w:rsidRDefault="00245044" w:rsidP="00BD5B34">
      <w:pPr>
        <w:pStyle w:val="ListParagraph"/>
        <w:numPr>
          <w:ilvl w:val="0"/>
          <w:numId w:val="2"/>
        </w:numPr>
        <w:jc w:val="both"/>
        <w:rPr>
          <w:b/>
        </w:rPr>
      </w:pPr>
      <w:r>
        <w:rPr>
          <w:b/>
        </w:rPr>
        <w:lastRenderedPageBreak/>
        <w:t>Births Assisted by Skilled Health Personnel</w:t>
      </w:r>
      <w:r w:rsidR="00B2271B">
        <w:rPr>
          <w:b/>
        </w:rPr>
        <w:t xml:space="preserve"> </w:t>
      </w:r>
      <w:proofErr w:type="gramStart"/>
      <w:r w:rsidR="00B2271B">
        <w:rPr>
          <w:b/>
          <w:bCs/>
        </w:rPr>
        <w:t>( Graph</w:t>
      </w:r>
      <w:proofErr w:type="gramEnd"/>
      <w:r w:rsidR="00B2271B">
        <w:rPr>
          <w:b/>
          <w:bCs/>
        </w:rPr>
        <w:t xml:space="preserve"> 1</w:t>
      </w:r>
      <w:r w:rsidR="00B2271B">
        <w:rPr>
          <w:b/>
          <w:bCs/>
        </w:rPr>
        <w:t>2</w:t>
      </w:r>
      <w:r w:rsidR="00B2271B">
        <w:rPr>
          <w:b/>
          <w:bCs/>
        </w:rPr>
        <w:t xml:space="preserve">): </w:t>
      </w:r>
      <w:r>
        <w:rPr>
          <w:b/>
        </w:rPr>
        <w:t xml:space="preserve"> – </w:t>
      </w:r>
      <w:r>
        <w:t>In all the three states, births assisted by skilled health personnel is 70% and above. In Bihar, it</w:t>
      </w:r>
      <w:r w:rsidR="007B082F">
        <w:t xml:space="preserve"> has gone from 29.3</w:t>
      </w:r>
      <w:r>
        <w:t xml:space="preserve">% </w:t>
      </w:r>
      <w:r w:rsidR="00BD5B34">
        <w:t xml:space="preserve">(NFHS III) </w:t>
      </w:r>
      <w:r>
        <w:t>to 70%</w:t>
      </w:r>
      <w:r w:rsidR="00BD5B34">
        <w:t xml:space="preserve"> (NFHS IV)</w:t>
      </w:r>
      <w:r>
        <w:t>; in MP it has gone up from 32.7% to 78.1% and in Uttarakhand, it has risen from 38.5 % to 71.2%.</w:t>
      </w:r>
    </w:p>
    <w:p w:rsidR="00245044" w:rsidRPr="00761EFB" w:rsidRDefault="00245044" w:rsidP="00E442FA">
      <w:pPr>
        <w:pStyle w:val="ListParagraph"/>
        <w:numPr>
          <w:ilvl w:val="0"/>
          <w:numId w:val="2"/>
        </w:numPr>
        <w:jc w:val="both"/>
        <w:rPr>
          <w:b/>
        </w:rPr>
      </w:pPr>
      <w:r>
        <w:rPr>
          <w:b/>
        </w:rPr>
        <w:t>Births Delivered by C-</w:t>
      </w:r>
      <w:proofErr w:type="gramStart"/>
      <w:r>
        <w:rPr>
          <w:b/>
        </w:rPr>
        <w:t>Section</w:t>
      </w:r>
      <w:r w:rsidR="00B2271B">
        <w:rPr>
          <w:b/>
          <w:bCs/>
        </w:rPr>
        <w:t>(</w:t>
      </w:r>
      <w:proofErr w:type="gramEnd"/>
      <w:r w:rsidR="00B2271B">
        <w:rPr>
          <w:b/>
          <w:bCs/>
        </w:rPr>
        <w:t xml:space="preserve"> Graph 1</w:t>
      </w:r>
      <w:r w:rsidR="00B2271B">
        <w:rPr>
          <w:b/>
          <w:bCs/>
        </w:rPr>
        <w:t>3</w:t>
      </w:r>
      <w:r w:rsidR="00B2271B">
        <w:rPr>
          <w:b/>
          <w:bCs/>
        </w:rPr>
        <w:t xml:space="preserve">): </w:t>
      </w:r>
      <w:r>
        <w:rPr>
          <w:b/>
        </w:rPr>
        <w:t xml:space="preserve"> </w:t>
      </w:r>
      <w:r w:rsidR="00761EFB">
        <w:rPr>
          <w:b/>
        </w:rPr>
        <w:t>–</w:t>
      </w:r>
      <w:r w:rsidR="00761EFB">
        <w:t>In Bihar the deliveries by C- Section ha</w:t>
      </w:r>
      <w:r w:rsidR="007B082F">
        <w:t>s</w:t>
      </w:r>
      <w:r w:rsidR="00761EFB">
        <w:t xml:space="preserve"> gone up from 3.1% (NFHS</w:t>
      </w:r>
      <w:r w:rsidR="007B082F">
        <w:t xml:space="preserve"> </w:t>
      </w:r>
      <w:r w:rsidR="00761EFB">
        <w:t>III) to 6.2% (NFHS</w:t>
      </w:r>
      <w:r w:rsidR="007B082F">
        <w:t xml:space="preserve"> </w:t>
      </w:r>
      <w:r w:rsidR="00761EFB">
        <w:t>IV), in MP, from 3.5% to 8.6% and in Uttarakhand, it has gone up from 8.1  to 13.1%</w:t>
      </w:r>
      <w:r w:rsidR="00BD5B34">
        <w:t>.</w:t>
      </w:r>
    </w:p>
    <w:p w:rsidR="00761EFB" w:rsidRPr="00761EFB" w:rsidRDefault="00761EFB" w:rsidP="007B2B05">
      <w:pPr>
        <w:pStyle w:val="ListParagraph"/>
        <w:jc w:val="both"/>
        <w:rPr>
          <w:b/>
        </w:rPr>
      </w:pPr>
    </w:p>
    <w:p w:rsidR="00761EFB" w:rsidRPr="000E01BC" w:rsidRDefault="000E01BC" w:rsidP="00E442FA">
      <w:pPr>
        <w:pStyle w:val="ListParagraph"/>
        <w:numPr>
          <w:ilvl w:val="0"/>
          <w:numId w:val="2"/>
        </w:numPr>
        <w:jc w:val="both"/>
        <w:rPr>
          <w:b/>
        </w:rPr>
      </w:pPr>
      <w:r>
        <w:rPr>
          <w:b/>
        </w:rPr>
        <w:t>Children age 1</w:t>
      </w:r>
      <w:r w:rsidR="007B082F">
        <w:rPr>
          <w:b/>
        </w:rPr>
        <w:t>2 – 23 months Fully Immunized (</w:t>
      </w:r>
      <w:r>
        <w:rPr>
          <w:b/>
        </w:rPr>
        <w:t xml:space="preserve">BCG, measles, and3 doses each of Polio and DPT) </w:t>
      </w:r>
      <w:r w:rsidR="00B2271B">
        <w:rPr>
          <w:b/>
          <w:bCs/>
        </w:rPr>
        <w:t>( Graph 1</w:t>
      </w:r>
      <w:r w:rsidR="00B2271B">
        <w:rPr>
          <w:b/>
          <w:bCs/>
        </w:rPr>
        <w:t>4</w:t>
      </w:r>
      <w:r w:rsidR="00B2271B">
        <w:rPr>
          <w:b/>
          <w:bCs/>
        </w:rPr>
        <w:t xml:space="preserve">): </w:t>
      </w:r>
      <w:r>
        <w:rPr>
          <w:b/>
        </w:rPr>
        <w:t xml:space="preserve">– </w:t>
      </w:r>
      <w:r>
        <w:t>Bihar has shown maximum increase</w:t>
      </w:r>
      <w:r w:rsidR="00807C11">
        <w:t xml:space="preserve"> in percentage of fully immunized children</w:t>
      </w:r>
      <w:r w:rsidR="007B082F">
        <w:t>, 28.9 points</w:t>
      </w:r>
      <w:r>
        <w:t>, from 32.8% in NFHS III to 61.7% in NFH</w:t>
      </w:r>
      <w:r w:rsidR="007B082F">
        <w:t>S IV. In MP</w:t>
      </w:r>
      <w:r>
        <w:t xml:space="preserve">, it </w:t>
      </w:r>
      <w:r w:rsidR="007B082F">
        <w:t>has gone up from 40.3% to 53.6%</w:t>
      </w:r>
      <w:r>
        <w:t xml:space="preserve"> but in Uttarakhand, it has gone down by 2.3 points, from 60%</w:t>
      </w:r>
      <w:r w:rsidR="00807C11">
        <w:t xml:space="preserve"> (NFHS III)</w:t>
      </w:r>
      <w:r>
        <w:t xml:space="preserve"> to 57.7%</w:t>
      </w:r>
      <w:r w:rsidR="00807C11">
        <w:t xml:space="preserve"> (NFHS IV).</w:t>
      </w:r>
    </w:p>
    <w:p w:rsidR="000E01BC" w:rsidRPr="000E01BC" w:rsidRDefault="000E01BC" w:rsidP="007B2B05">
      <w:pPr>
        <w:pStyle w:val="ListParagraph"/>
        <w:jc w:val="both"/>
        <w:rPr>
          <w:b/>
        </w:rPr>
      </w:pPr>
    </w:p>
    <w:p w:rsidR="000E01BC" w:rsidRPr="007D2960" w:rsidRDefault="006505B5" w:rsidP="00E442FA">
      <w:pPr>
        <w:pStyle w:val="ListParagraph"/>
        <w:numPr>
          <w:ilvl w:val="0"/>
          <w:numId w:val="2"/>
        </w:numPr>
        <w:jc w:val="both"/>
        <w:rPr>
          <w:b/>
        </w:rPr>
      </w:pPr>
      <w:r>
        <w:rPr>
          <w:b/>
        </w:rPr>
        <w:t xml:space="preserve">Children Under Age 3 years Breastfed within One Hour of Birth </w:t>
      </w:r>
      <w:proofErr w:type="gramStart"/>
      <w:r w:rsidR="00B2271B">
        <w:rPr>
          <w:b/>
          <w:bCs/>
        </w:rPr>
        <w:t>( Graph</w:t>
      </w:r>
      <w:proofErr w:type="gramEnd"/>
      <w:r w:rsidR="00B2271B">
        <w:rPr>
          <w:b/>
          <w:bCs/>
        </w:rPr>
        <w:t xml:space="preserve"> 1</w:t>
      </w:r>
      <w:r w:rsidR="00B2271B">
        <w:rPr>
          <w:b/>
          <w:bCs/>
        </w:rPr>
        <w:t>5</w:t>
      </w:r>
      <w:r w:rsidR="00B2271B">
        <w:rPr>
          <w:b/>
          <w:bCs/>
        </w:rPr>
        <w:t xml:space="preserve">): </w:t>
      </w:r>
      <w:r>
        <w:rPr>
          <w:b/>
        </w:rPr>
        <w:t xml:space="preserve">– </w:t>
      </w:r>
      <w:r>
        <w:t xml:space="preserve">In Uttarakhand, it has gone down from 32.9% (NFHS III) to 27.8% (NFHS IV).  Maximum rise is </w:t>
      </w:r>
      <w:r w:rsidR="007B082F">
        <w:t>seen in Bihar, i</w:t>
      </w:r>
      <w:r>
        <w:t>t has gone up from 4.0 % (NFHS III) to 34.9% (NFHS IV). In MP, it has gone up from 14.9%</w:t>
      </w:r>
      <w:r w:rsidR="007B082F">
        <w:t xml:space="preserve"> (NFHS III)</w:t>
      </w:r>
      <w:r>
        <w:t xml:space="preserve"> to 34.5%</w:t>
      </w:r>
      <w:r w:rsidR="007B082F">
        <w:t xml:space="preserve"> (NFHS IV)</w:t>
      </w:r>
      <w:r>
        <w:t>.</w:t>
      </w:r>
    </w:p>
    <w:p w:rsidR="007D2960" w:rsidRPr="007D2960" w:rsidRDefault="007D2960" w:rsidP="007B2B05">
      <w:pPr>
        <w:pStyle w:val="ListParagraph"/>
        <w:jc w:val="both"/>
        <w:rPr>
          <w:b/>
        </w:rPr>
      </w:pPr>
    </w:p>
    <w:p w:rsidR="007D2960" w:rsidRDefault="007B082F" w:rsidP="00E442FA">
      <w:pPr>
        <w:pStyle w:val="ListParagraph"/>
        <w:numPr>
          <w:ilvl w:val="0"/>
          <w:numId w:val="2"/>
        </w:numPr>
        <w:jc w:val="both"/>
      </w:pPr>
      <w:r>
        <w:rPr>
          <w:b/>
        </w:rPr>
        <w:t>Children under 5 years w</w:t>
      </w:r>
      <w:r w:rsidR="007D2960">
        <w:rPr>
          <w:b/>
        </w:rPr>
        <w:t xml:space="preserve">ho Are </w:t>
      </w:r>
      <w:r w:rsidR="0094025E">
        <w:rPr>
          <w:b/>
        </w:rPr>
        <w:t>Stunted (</w:t>
      </w:r>
      <w:r w:rsidR="007D2960">
        <w:rPr>
          <w:b/>
        </w:rPr>
        <w:t>Height for age) (- 2S</w:t>
      </w:r>
      <w:r>
        <w:rPr>
          <w:b/>
        </w:rPr>
        <w:t>D</w:t>
      </w:r>
      <w:r w:rsidR="007D2960">
        <w:rPr>
          <w:b/>
        </w:rPr>
        <w:t xml:space="preserve">) </w:t>
      </w:r>
      <w:proofErr w:type="gramStart"/>
      <w:r w:rsidR="00B2271B">
        <w:rPr>
          <w:b/>
          <w:bCs/>
        </w:rPr>
        <w:t>( Graph</w:t>
      </w:r>
      <w:proofErr w:type="gramEnd"/>
      <w:r w:rsidR="00B2271B">
        <w:rPr>
          <w:b/>
          <w:bCs/>
        </w:rPr>
        <w:t xml:space="preserve"> 1</w:t>
      </w:r>
      <w:r w:rsidR="00B2271B">
        <w:rPr>
          <w:b/>
          <w:bCs/>
        </w:rPr>
        <w:t>6</w:t>
      </w:r>
      <w:r w:rsidR="00B2271B">
        <w:rPr>
          <w:b/>
          <w:bCs/>
        </w:rPr>
        <w:t xml:space="preserve">): </w:t>
      </w:r>
      <w:r w:rsidR="007D2960">
        <w:rPr>
          <w:b/>
        </w:rPr>
        <w:t xml:space="preserve">– </w:t>
      </w:r>
      <w:r w:rsidR="007D2960" w:rsidRPr="007D2960">
        <w:t>Uttarakhand has shown maximum decline of</w:t>
      </w:r>
      <w:r>
        <w:t xml:space="preserve"> </w:t>
      </w:r>
      <w:r w:rsidR="007D2960" w:rsidRPr="007D2960">
        <w:t xml:space="preserve">11 </w:t>
      </w:r>
      <w:r w:rsidR="0094025E" w:rsidRPr="007D2960">
        <w:t>points</w:t>
      </w:r>
      <w:r w:rsidR="0094025E">
        <w:t xml:space="preserve">. </w:t>
      </w:r>
      <w:r w:rsidR="007D2960">
        <w:t xml:space="preserve">It has gone down from 44.4% (NFHS III) to 33.5% (NFHS IV). MP has gone down from 50% </w:t>
      </w:r>
      <w:r>
        <w:t xml:space="preserve">(NFHS III) </w:t>
      </w:r>
      <w:r w:rsidR="007D2960">
        <w:t xml:space="preserve">to 42% </w:t>
      </w:r>
      <w:r>
        <w:t xml:space="preserve">(NFHS IV) </w:t>
      </w:r>
      <w:r w:rsidR="007D2960">
        <w:t>and Bihar has gone down from 55.6%</w:t>
      </w:r>
      <w:r>
        <w:t xml:space="preserve"> (NFHS III)</w:t>
      </w:r>
      <w:r w:rsidR="007D2960">
        <w:t xml:space="preserve"> to 48.3%</w:t>
      </w:r>
      <w:r>
        <w:t xml:space="preserve"> (NFHS IV)</w:t>
      </w:r>
      <w:r w:rsidR="007D2960">
        <w:t>.</w:t>
      </w:r>
    </w:p>
    <w:p w:rsidR="007B082F" w:rsidRDefault="007B082F" w:rsidP="007B2B05">
      <w:pPr>
        <w:pStyle w:val="ListParagraph"/>
        <w:jc w:val="both"/>
      </w:pPr>
    </w:p>
    <w:p w:rsidR="00CF2A91" w:rsidRDefault="00CF2A91" w:rsidP="007A0160">
      <w:pPr>
        <w:pStyle w:val="ListParagraph"/>
        <w:jc w:val="both"/>
      </w:pPr>
      <w:r>
        <w:t xml:space="preserve">This data has also been compared with </w:t>
      </w:r>
      <w:r w:rsidRPr="00CF2A91">
        <w:t xml:space="preserve">CLINICAL, ANTHROPOMETRIC and </w:t>
      </w:r>
      <w:r w:rsidR="007A0160">
        <w:t>B</w:t>
      </w:r>
      <w:r w:rsidR="007A0160" w:rsidRPr="00CF2A91">
        <w:t>IOCHEMICAL</w:t>
      </w:r>
      <w:r w:rsidRPr="00CF2A91">
        <w:t xml:space="preserve"> Survey</w:t>
      </w:r>
      <w:r>
        <w:t xml:space="preserve"> (CAB)</w:t>
      </w:r>
      <w:r w:rsidR="007A0160">
        <w:t xml:space="preserve">. </w:t>
      </w:r>
      <w:r>
        <w:t>For Bihar, CAB has shown 3.6 points decline from NFHS III whereas NFHSIV has shown decline of 7.3 points. For MP CAB has shown rise of 1.5 points as compared to NFHS III, whereas NFHS IV has shown decline of 8 points from NFHS III. For Uttarakhand, CAB has shown decline is of 3.8 points as</w:t>
      </w:r>
      <w:r w:rsidR="007B082F">
        <w:t xml:space="preserve"> compared to NFHS III </w:t>
      </w:r>
      <w:r>
        <w:t>and NFHS IV has shown decline of 10.9 points from NFHS III.</w:t>
      </w:r>
    </w:p>
    <w:tbl>
      <w:tblPr>
        <w:tblW w:w="6060" w:type="dxa"/>
        <w:jc w:val="center"/>
        <w:tblInd w:w="93" w:type="dxa"/>
        <w:tblLook w:val="04A0" w:firstRow="1" w:lastRow="0" w:firstColumn="1" w:lastColumn="0" w:noHBand="0" w:noVBand="1"/>
      </w:tblPr>
      <w:tblGrid>
        <w:gridCol w:w="2921"/>
        <w:gridCol w:w="1175"/>
        <w:gridCol w:w="789"/>
        <w:gridCol w:w="1175"/>
      </w:tblGrid>
      <w:tr w:rsidR="001E2920" w:rsidRPr="001E2920" w:rsidTr="007B082F">
        <w:trPr>
          <w:trHeight w:val="315"/>
          <w:jc w:val="center"/>
        </w:trPr>
        <w:tc>
          <w:tcPr>
            <w:tcW w:w="60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Stunting (below -2SD</w:t>
            </w:r>
            <w:proofErr w:type="gramStart"/>
            <w:r w:rsidRPr="001E2920">
              <w:rPr>
                <w:rFonts w:ascii="Calibri" w:eastAsia="Times New Roman" w:hAnsi="Calibri" w:cs="Times New Roman"/>
                <w:b/>
                <w:bCs/>
                <w:color w:val="000000"/>
              </w:rPr>
              <w:t>)(</w:t>
            </w:r>
            <w:proofErr w:type="gramEnd"/>
            <w:r w:rsidRPr="001E2920">
              <w:rPr>
                <w:rFonts w:ascii="Calibri" w:eastAsia="Times New Roman" w:hAnsi="Calibri" w:cs="Times New Roman"/>
                <w:b/>
                <w:bCs/>
                <w:color w:val="000000"/>
              </w:rPr>
              <w:t>%)</w:t>
            </w:r>
          </w:p>
        </w:tc>
      </w:tr>
      <w:tr w:rsidR="001E2920" w:rsidRPr="001E2920" w:rsidTr="007B082F">
        <w:trPr>
          <w:trHeight w:val="484"/>
          <w:jc w:val="center"/>
        </w:trPr>
        <w:tc>
          <w:tcPr>
            <w:tcW w:w="2921" w:type="dxa"/>
            <w:tcBorders>
              <w:top w:val="nil"/>
              <w:left w:val="single" w:sz="8" w:space="0" w:color="auto"/>
              <w:bottom w:val="single" w:sz="8" w:space="0" w:color="auto"/>
              <w:right w:val="single" w:sz="8" w:space="0" w:color="auto"/>
            </w:tcBorders>
            <w:shd w:val="clear" w:color="000000" w:fill="D9D9D9"/>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States</w:t>
            </w:r>
          </w:p>
        </w:tc>
        <w:tc>
          <w:tcPr>
            <w:tcW w:w="1175" w:type="dxa"/>
            <w:tcBorders>
              <w:top w:val="nil"/>
              <w:left w:val="nil"/>
              <w:bottom w:val="nil"/>
              <w:right w:val="single" w:sz="4"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NFHS3</w:t>
            </w:r>
          </w:p>
        </w:tc>
        <w:tc>
          <w:tcPr>
            <w:tcW w:w="789" w:type="dxa"/>
            <w:tcBorders>
              <w:top w:val="nil"/>
              <w:left w:val="nil"/>
              <w:bottom w:val="nil"/>
              <w:right w:val="single" w:sz="4"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CAB</w:t>
            </w:r>
          </w:p>
        </w:tc>
        <w:tc>
          <w:tcPr>
            <w:tcW w:w="1175" w:type="dxa"/>
            <w:tcBorders>
              <w:top w:val="nil"/>
              <w:left w:val="nil"/>
              <w:bottom w:val="nil"/>
              <w:right w:val="single" w:sz="8"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NFHS4</w:t>
            </w:r>
          </w:p>
        </w:tc>
      </w:tr>
      <w:tr w:rsidR="001E2920" w:rsidRPr="001E2920" w:rsidTr="007B082F">
        <w:trPr>
          <w:trHeight w:val="358"/>
          <w:jc w:val="center"/>
        </w:trPr>
        <w:tc>
          <w:tcPr>
            <w:tcW w:w="2921" w:type="dxa"/>
            <w:tcBorders>
              <w:top w:val="nil"/>
              <w:left w:val="single" w:sz="8" w:space="0" w:color="auto"/>
              <w:bottom w:val="single" w:sz="8" w:space="0" w:color="auto"/>
              <w:right w:val="nil"/>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Bihar</w:t>
            </w:r>
          </w:p>
        </w:tc>
        <w:tc>
          <w:tcPr>
            <w:tcW w:w="11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55.6</w:t>
            </w:r>
          </w:p>
        </w:tc>
        <w:tc>
          <w:tcPr>
            <w:tcW w:w="789" w:type="dxa"/>
            <w:tcBorders>
              <w:top w:val="single" w:sz="8" w:space="0" w:color="auto"/>
              <w:left w:val="nil"/>
              <w:bottom w:val="single" w:sz="4" w:space="0" w:color="auto"/>
              <w:right w:val="single" w:sz="4"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52</w:t>
            </w:r>
          </w:p>
        </w:tc>
        <w:tc>
          <w:tcPr>
            <w:tcW w:w="1175" w:type="dxa"/>
            <w:tcBorders>
              <w:top w:val="single" w:sz="8" w:space="0" w:color="auto"/>
              <w:left w:val="nil"/>
              <w:bottom w:val="single" w:sz="4" w:space="0" w:color="auto"/>
              <w:right w:val="single" w:sz="8"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48.3</w:t>
            </w:r>
          </w:p>
        </w:tc>
      </w:tr>
      <w:tr w:rsidR="001E2920" w:rsidRPr="001E2920" w:rsidTr="007B082F">
        <w:trPr>
          <w:trHeight w:val="403"/>
          <w:jc w:val="center"/>
        </w:trPr>
        <w:tc>
          <w:tcPr>
            <w:tcW w:w="2921" w:type="dxa"/>
            <w:tcBorders>
              <w:top w:val="nil"/>
              <w:left w:val="single" w:sz="8" w:space="0" w:color="auto"/>
              <w:bottom w:val="single" w:sz="8" w:space="0" w:color="auto"/>
              <w:right w:val="nil"/>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Madhya Pradesh</w:t>
            </w:r>
          </w:p>
        </w:tc>
        <w:tc>
          <w:tcPr>
            <w:tcW w:w="1175" w:type="dxa"/>
            <w:tcBorders>
              <w:top w:val="nil"/>
              <w:left w:val="single" w:sz="8" w:space="0" w:color="auto"/>
              <w:bottom w:val="single" w:sz="4" w:space="0" w:color="auto"/>
              <w:right w:val="single" w:sz="4"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50</w:t>
            </w:r>
          </w:p>
        </w:tc>
        <w:tc>
          <w:tcPr>
            <w:tcW w:w="789" w:type="dxa"/>
            <w:tcBorders>
              <w:top w:val="nil"/>
              <w:left w:val="nil"/>
              <w:bottom w:val="single" w:sz="4" w:space="0" w:color="auto"/>
              <w:right w:val="single" w:sz="4"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51.5</w:t>
            </w:r>
          </w:p>
        </w:tc>
        <w:tc>
          <w:tcPr>
            <w:tcW w:w="1175" w:type="dxa"/>
            <w:tcBorders>
              <w:top w:val="nil"/>
              <w:left w:val="nil"/>
              <w:bottom w:val="single" w:sz="4" w:space="0" w:color="auto"/>
              <w:right w:val="single" w:sz="8"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42</w:t>
            </w:r>
          </w:p>
        </w:tc>
      </w:tr>
      <w:tr w:rsidR="001E2920" w:rsidRPr="001E2920" w:rsidTr="007B082F">
        <w:trPr>
          <w:trHeight w:val="430"/>
          <w:jc w:val="center"/>
        </w:trPr>
        <w:tc>
          <w:tcPr>
            <w:tcW w:w="2921" w:type="dxa"/>
            <w:tcBorders>
              <w:top w:val="nil"/>
              <w:left w:val="single" w:sz="8" w:space="0" w:color="auto"/>
              <w:bottom w:val="single" w:sz="8" w:space="0" w:color="auto"/>
              <w:right w:val="nil"/>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Uttarakhand</w:t>
            </w:r>
          </w:p>
        </w:tc>
        <w:tc>
          <w:tcPr>
            <w:tcW w:w="1175" w:type="dxa"/>
            <w:tcBorders>
              <w:top w:val="nil"/>
              <w:left w:val="single" w:sz="8" w:space="0" w:color="auto"/>
              <w:bottom w:val="single" w:sz="8" w:space="0" w:color="auto"/>
              <w:right w:val="single" w:sz="4"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44.4</w:t>
            </w:r>
          </w:p>
        </w:tc>
        <w:tc>
          <w:tcPr>
            <w:tcW w:w="789" w:type="dxa"/>
            <w:tcBorders>
              <w:top w:val="nil"/>
              <w:left w:val="nil"/>
              <w:bottom w:val="single" w:sz="8" w:space="0" w:color="auto"/>
              <w:right w:val="single" w:sz="4"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40.2</w:t>
            </w:r>
          </w:p>
        </w:tc>
        <w:tc>
          <w:tcPr>
            <w:tcW w:w="1175" w:type="dxa"/>
            <w:tcBorders>
              <w:top w:val="nil"/>
              <w:left w:val="nil"/>
              <w:bottom w:val="single" w:sz="8" w:space="0" w:color="auto"/>
              <w:right w:val="single" w:sz="8" w:space="0" w:color="auto"/>
            </w:tcBorders>
            <w:shd w:val="clear" w:color="auto" w:fill="auto"/>
            <w:noWrap/>
            <w:vAlign w:val="center"/>
            <w:hideMark/>
          </w:tcPr>
          <w:p w:rsidR="001E2920" w:rsidRPr="001E2920" w:rsidRDefault="001E2920" w:rsidP="007B082F">
            <w:pPr>
              <w:spacing w:after="0" w:line="240" w:lineRule="auto"/>
              <w:jc w:val="center"/>
              <w:rPr>
                <w:rFonts w:ascii="Calibri" w:eastAsia="Times New Roman" w:hAnsi="Calibri" w:cs="Times New Roman"/>
                <w:b/>
                <w:bCs/>
                <w:color w:val="000000"/>
              </w:rPr>
            </w:pPr>
            <w:r w:rsidRPr="001E2920">
              <w:rPr>
                <w:rFonts w:ascii="Calibri" w:eastAsia="Times New Roman" w:hAnsi="Calibri" w:cs="Times New Roman"/>
                <w:b/>
                <w:bCs/>
                <w:color w:val="000000"/>
              </w:rPr>
              <w:t>33.5</w:t>
            </w:r>
          </w:p>
        </w:tc>
      </w:tr>
    </w:tbl>
    <w:p w:rsidR="001E2920" w:rsidRDefault="001E2920" w:rsidP="007B2B05">
      <w:pPr>
        <w:pStyle w:val="ListParagraph"/>
        <w:jc w:val="both"/>
      </w:pPr>
    </w:p>
    <w:p w:rsidR="007D2960" w:rsidRDefault="007D2960" w:rsidP="007B2B05">
      <w:pPr>
        <w:pStyle w:val="ListParagraph"/>
        <w:jc w:val="both"/>
      </w:pPr>
    </w:p>
    <w:p w:rsidR="006505B5" w:rsidRPr="00346E04" w:rsidRDefault="007D2960" w:rsidP="00E442FA">
      <w:pPr>
        <w:pStyle w:val="ListParagraph"/>
        <w:numPr>
          <w:ilvl w:val="0"/>
          <w:numId w:val="2"/>
        </w:numPr>
        <w:jc w:val="both"/>
        <w:rPr>
          <w:b/>
        </w:rPr>
      </w:pPr>
      <w:r w:rsidRPr="004B1EBF">
        <w:rPr>
          <w:b/>
        </w:rPr>
        <w:t xml:space="preserve">Children under 5 years </w:t>
      </w:r>
      <w:r w:rsidR="007A0160">
        <w:rPr>
          <w:b/>
        </w:rPr>
        <w:t>w</w:t>
      </w:r>
      <w:r w:rsidRPr="004B1EBF">
        <w:rPr>
          <w:b/>
        </w:rPr>
        <w:t xml:space="preserve">ho Are </w:t>
      </w:r>
      <w:r w:rsidR="0094025E" w:rsidRPr="004B1EBF">
        <w:rPr>
          <w:b/>
        </w:rPr>
        <w:t>wasted (</w:t>
      </w:r>
      <w:r w:rsidRPr="004B1EBF">
        <w:rPr>
          <w:b/>
        </w:rPr>
        <w:t xml:space="preserve">weight for </w:t>
      </w:r>
      <w:r w:rsidR="0094025E" w:rsidRPr="004B1EBF">
        <w:rPr>
          <w:b/>
        </w:rPr>
        <w:t>Height)</w:t>
      </w:r>
      <w:r w:rsidRPr="004B1EBF">
        <w:rPr>
          <w:b/>
        </w:rPr>
        <w:t xml:space="preserve"> (- 2S</w:t>
      </w:r>
      <w:r w:rsidR="00102D48">
        <w:rPr>
          <w:b/>
        </w:rPr>
        <w:t>D</w:t>
      </w:r>
      <w:r w:rsidRPr="004B1EBF">
        <w:rPr>
          <w:b/>
        </w:rPr>
        <w:t>)</w:t>
      </w:r>
      <w:r w:rsidR="00B2271B" w:rsidRPr="00B2271B">
        <w:rPr>
          <w:b/>
          <w:bCs/>
        </w:rPr>
        <w:t xml:space="preserve"> </w:t>
      </w:r>
      <w:proofErr w:type="gramStart"/>
      <w:r w:rsidR="00B2271B">
        <w:rPr>
          <w:b/>
          <w:bCs/>
        </w:rPr>
        <w:t>( Graph</w:t>
      </w:r>
      <w:proofErr w:type="gramEnd"/>
      <w:r w:rsidR="00B2271B">
        <w:rPr>
          <w:b/>
          <w:bCs/>
        </w:rPr>
        <w:t xml:space="preserve"> 1</w:t>
      </w:r>
      <w:r w:rsidR="00B2271B">
        <w:rPr>
          <w:b/>
          <w:bCs/>
        </w:rPr>
        <w:t>7</w:t>
      </w:r>
      <w:r w:rsidR="00B2271B">
        <w:rPr>
          <w:b/>
          <w:bCs/>
        </w:rPr>
        <w:t xml:space="preserve">): </w:t>
      </w:r>
      <w:r w:rsidRPr="004B1EBF">
        <w:rPr>
          <w:b/>
        </w:rPr>
        <w:t xml:space="preserve"> – </w:t>
      </w:r>
      <w:r w:rsidR="007A0160" w:rsidRPr="007A0160">
        <w:t>W</w:t>
      </w:r>
      <w:r w:rsidR="007A0160">
        <w:t xml:space="preserve">asting in Bihar has declined by </w:t>
      </w:r>
      <w:r w:rsidR="00346E04">
        <w:t>6.3</w:t>
      </w:r>
      <w:r w:rsidR="007A0160">
        <w:t xml:space="preserve"> points. </w:t>
      </w:r>
      <w:r w:rsidRPr="007D2960">
        <w:t>20.8% children</w:t>
      </w:r>
      <w:r>
        <w:t xml:space="preserve"> in Bihar are wasted as per NFHS IV</w:t>
      </w:r>
      <w:r w:rsidR="004B1EBF">
        <w:t xml:space="preserve">. </w:t>
      </w:r>
      <w:r>
        <w:t xml:space="preserve">It </w:t>
      </w:r>
      <w:r w:rsidR="004B1EBF">
        <w:t xml:space="preserve">was 27.1% in NFHSIII. MP has come down from 35% </w:t>
      </w:r>
      <w:r w:rsidR="0094025E">
        <w:t>(NFHS</w:t>
      </w:r>
      <w:r w:rsidR="004B1EBF">
        <w:t xml:space="preserve"> III) to 25.8% (NFHS IV). In Uttarakhand, it was 18.8% in NFHS III and it is 19.5% as per NFHS IV report.</w:t>
      </w:r>
    </w:p>
    <w:p w:rsidR="00346E04" w:rsidRDefault="00346E04" w:rsidP="00346E04">
      <w:pPr>
        <w:pStyle w:val="ListParagraph"/>
        <w:jc w:val="both"/>
      </w:pPr>
    </w:p>
    <w:p w:rsidR="00346E04" w:rsidRDefault="00346E04" w:rsidP="00346E04">
      <w:pPr>
        <w:pStyle w:val="ListParagraph"/>
        <w:jc w:val="both"/>
      </w:pPr>
      <w:r>
        <w:t xml:space="preserve">This data has also been compared with </w:t>
      </w:r>
      <w:r w:rsidRPr="00CF2A91">
        <w:t xml:space="preserve">CLINICAL, ANTHROPOMETRIC and </w:t>
      </w:r>
      <w:r>
        <w:t>B</w:t>
      </w:r>
      <w:r w:rsidRPr="00CF2A91">
        <w:t>IOCHEMICAL Survey</w:t>
      </w:r>
      <w:r>
        <w:t xml:space="preserve"> (CAB). For Bihar, CAB has shown 7.9 points decline from NFHS III whereas NFHS IV has shown decline of 6.3 points. For MP, CAB has shown decline of 8.5 points as compared to NFHS III, whereas NFHS IV </w:t>
      </w:r>
      <w:r>
        <w:lastRenderedPageBreak/>
        <w:t>has shown rise of 9.2 points from NFHS III. For Uttarakhand, CAB has shown decline is of 4.1 points as compared to NFHS III and NFHS IV has shown rise of 0.7 points from NFHS III.</w:t>
      </w:r>
    </w:p>
    <w:p w:rsidR="00346E04" w:rsidRPr="001317DD" w:rsidRDefault="00346E04" w:rsidP="00346E04">
      <w:pPr>
        <w:pStyle w:val="ListParagraph"/>
        <w:jc w:val="both"/>
        <w:rPr>
          <w:b/>
        </w:rPr>
      </w:pPr>
    </w:p>
    <w:p w:rsidR="001317DD" w:rsidRPr="000A3CAE" w:rsidRDefault="001317DD" w:rsidP="007B2B05">
      <w:pPr>
        <w:pStyle w:val="ListParagraph"/>
        <w:jc w:val="both"/>
        <w:rPr>
          <w:b/>
        </w:rPr>
      </w:pPr>
    </w:p>
    <w:tbl>
      <w:tblPr>
        <w:tblW w:w="6260" w:type="dxa"/>
        <w:jc w:val="center"/>
        <w:tblInd w:w="93" w:type="dxa"/>
        <w:tblLook w:val="04A0" w:firstRow="1" w:lastRow="0" w:firstColumn="1" w:lastColumn="0" w:noHBand="0" w:noVBand="1"/>
      </w:tblPr>
      <w:tblGrid>
        <w:gridCol w:w="3020"/>
        <w:gridCol w:w="1215"/>
        <w:gridCol w:w="810"/>
        <w:gridCol w:w="1215"/>
      </w:tblGrid>
      <w:tr w:rsidR="00883A8A" w:rsidRPr="00883A8A" w:rsidTr="00882727">
        <w:trPr>
          <w:trHeight w:val="315"/>
          <w:jc w:val="center"/>
        </w:trPr>
        <w:tc>
          <w:tcPr>
            <w:tcW w:w="62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b/>
                <w:bCs/>
                <w:color w:val="000000"/>
              </w:rPr>
            </w:pPr>
            <w:r w:rsidRPr="00883A8A">
              <w:rPr>
                <w:rFonts w:ascii="Calibri" w:eastAsia="Times New Roman" w:hAnsi="Calibri" w:cs="Times New Roman"/>
                <w:b/>
                <w:bCs/>
                <w:color w:val="000000"/>
              </w:rPr>
              <w:t>Wasting (below -2SD)</w:t>
            </w:r>
            <w:r w:rsidR="00882727">
              <w:rPr>
                <w:rFonts w:ascii="Calibri" w:eastAsia="Times New Roman" w:hAnsi="Calibri" w:cs="Times New Roman"/>
                <w:b/>
                <w:bCs/>
                <w:color w:val="000000"/>
              </w:rPr>
              <w:t xml:space="preserve"> </w:t>
            </w:r>
            <w:r w:rsidRPr="00883A8A">
              <w:rPr>
                <w:rFonts w:ascii="Calibri" w:eastAsia="Times New Roman" w:hAnsi="Calibri" w:cs="Times New Roman"/>
                <w:b/>
                <w:bCs/>
                <w:color w:val="000000"/>
              </w:rPr>
              <w:t>(%)</w:t>
            </w:r>
          </w:p>
        </w:tc>
      </w:tr>
      <w:tr w:rsidR="00883A8A" w:rsidRPr="00883A8A" w:rsidTr="004A605E">
        <w:trPr>
          <w:trHeight w:val="556"/>
          <w:jc w:val="center"/>
        </w:trPr>
        <w:tc>
          <w:tcPr>
            <w:tcW w:w="3020" w:type="dxa"/>
            <w:tcBorders>
              <w:top w:val="nil"/>
              <w:left w:val="single" w:sz="8" w:space="0" w:color="auto"/>
              <w:bottom w:val="single" w:sz="8" w:space="0" w:color="auto"/>
              <w:right w:val="single" w:sz="8" w:space="0" w:color="auto"/>
            </w:tcBorders>
            <w:shd w:val="clear" w:color="000000" w:fill="D9D9D9"/>
            <w:noWrap/>
            <w:vAlign w:val="center"/>
            <w:hideMark/>
          </w:tcPr>
          <w:p w:rsidR="00883A8A" w:rsidRPr="00883A8A" w:rsidRDefault="00883A8A" w:rsidP="00882727">
            <w:pPr>
              <w:spacing w:after="0" w:line="240" w:lineRule="auto"/>
              <w:jc w:val="center"/>
              <w:rPr>
                <w:rFonts w:ascii="Calibri" w:eastAsia="Times New Roman" w:hAnsi="Calibri" w:cs="Times New Roman"/>
                <w:b/>
                <w:bCs/>
                <w:color w:val="000000"/>
              </w:rPr>
            </w:pPr>
            <w:r w:rsidRPr="00883A8A">
              <w:rPr>
                <w:rFonts w:ascii="Calibri" w:eastAsia="Times New Roman" w:hAnsi="Calibri" w:cs="Times New Roman"/>
                <w:b/>
                <w:bCs/>
                <w:color w:val="000000"/>
              </w:rPr>
              <w:t>States</w:t>
            </w:r>
          </w:p>
        </w:tc>
        <w:tc>
          <w:tcPr>
            <w:tcW w:w="1215" w:type="dxa"/>
            <w:tcBorders>
              <w:top w:val="nil"/>
              <w:left w:val="nil"/>
              <w:bottom w:val="nil"/>
              <w:right w:val="single" w:sz="4"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b/>
                <w:bCs/>
                <w:color w:val="000000"/>
              </w:rPr>
            </w:pPr>
            <w:r w:rsidRPr="00883A8A">
              <w:rPr>
                <w:rFonts w:ascii="Calibri" w:eastAsia="Times New Roman" w:hAnsi="Calibri" w:cs="Times New Roman"/>
                <w:b/>
                <w:bCs/>
                <w:color w:val="000000"/>
              </w:rPr>
              <w:t>NFHS3</w:t>
            </w:r>
          </w:p>
        </w:tc>
        <w:tc>
          <w:tcPr>
            <w:tcW w:w="810" w:type="dxa"/>
            <w:tcBorders>
              <w:top w:val="nil"/>
              <w:left w:val="nil"/>
              <w:bottom w:val="nil"/>
              <w:right w:val="single" w:sz="4"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b/>
                <w:bCs/>
                <w:color w:val="000000"/>
              </w:rPr>
            </w:pPr>
            <w:r w:rsidRPr="00883A8A">
              <w:rPr>
                <w:rFonts w:ascii="Calibri" w:eastAsia="Times New Roman" w:hAnsi="Calibri" w:cs="Times New Roman"/>
                <w:b/>
                <w:bCs/>
                <w:color w:val="000000"/>
              </w:rPr>
              <w:t>CAB</w:t>
            </w:r>
          </w:p>
        </w:tc>
        <w:tc>
          <w:tcPr>
            <w:tcW w:w="1215" w:type="dxa"/>
            <w:tcBorders>
              <w:top w:val="nil"/>
              <w:left w:val="nil"/>
              <w:bottom w:val="nil"/>
              <w:right w:val="single" w:sz="8"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b/>
                <w:bCs/>
                <w:color w:val="000000"/>
              </w:rPr>
            </w:pPr>
            <w:r w:rsidRPr="00883A8A">
              <w:rPr>
                <w:rFonts w:ascii="Calibri" w:eastAsia="Times New Roman" w:hAnsi="Calibri" w:cs="Times New Roman"/>
                <w:b/>
                <w:bCs/>
                <w:color w:val="000000"/>
              </w:rPr>
              <w:t>NFHS4</w:t>
            </w:r>
          </w:p>
        </w:tc>
      </w:tr>
      <w:tr w:rsidR="00883A8A" w:rsidRPr="00883A8A" w:rsidTr="004A605E">
        <w:trPr>
          <w:trHeight w:val="412"/>
          <w:jc w:val="center"/>
        </w:trPr>
        <w:tc>
          <w:tcPr>
            <w:tcW w:w="3020" w:type="dxa"/>
            <w:tcBorders>
              <w:top w:val="nil"/>
              <w:left w:val="single" w:sz="8" w:space="0" w:color="auto"/>
              <w:bottom w:val="single" w:sz="8" w:space="0" w:color="auto"/>
              <w:right w:val="nil"/>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b/>
                <w:bCs/>
                <w:color w:val="000000"/>
              </w:rPr>
            </w:pPr>
            <w:r w:rsidRPr="00883A8A">
              <w:rPr>
                <w:rFonts w:ascii="Calibri" w:eastAsia="Times New Roman" w:hAnsi="Calibri" w:cs="Times New Roman"/>
                <w:b/>
                <w:bCs/>
                <w:color w:val="000000"/>
              </w:rPr>
              <w:t>Bihar</w:t>
            </w:r>
          </w:p>
        </w:tc>
        <w:tc>
          <w:tcPr>
            <w:tcW w:w="12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color w:val="000000"/>
              </w:rPr>
            </w:pPr>
            <w:r w:rsidRPr="00883A8A">
              <w:rPr>
                <w:rFonts w:ascii="Calibri" w:eastAsia="Times New Roman" w:hAnsi="Calibri" w:cs="Times New Roman"/>
                <w:color w:val="000000"/>
              </w:rPr>
              <w:t>27.1</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color w:val="000000"/>
              </w:rPr>
            </w:pPr>
            <w:r w:rsidRPr="00883A8A">
              <w:rPr>
                <w:rFonts w:ascii="Calibri" w:eastAsia="Times New Roman" w:hAnsi="Calibri" w:cs="Times New Roman"/>
                <w:color w:val="000000"/>
              </w:rPr>
              <w:t>19.2</w:t>
            </w:r>
          </w:p>
        </w:tc>
        <w:tc>
          <w:tcPr>
            <w:tcW w:w="1215" w:type="dxa"/>
            <w:tcBorders>
              <w:top w:val="single" w:sz="8" w:space="0" w:color="auto"/>
              <w:left w:val="nil"/>
              <w:bottom w:val="single" w:sz="4" w:space="0" w:color="auto"/>
              <w:right w:val="single" w:sz="8"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color w:val="000000"/>
              </w:rPr>
            </w:pPr>
            <w:r w:rsidRPr="00883A8A">
              <w:rPr>
                <w:rFonts w:ascii="Calibri" w:eastAsia="Times New Roman" w:hAnsi="Calibri" w:cs="Times New Roman"/>
                <w:color w:val="000000"/>
              </w:rPr>
              <w:t>20.8</w:t>
            </w:r>
          </w:p>
        </w:tc>
      </w:tr>
      <w:tr w:rsidR="00883A8A" w:rsidRPr="00883A8A" w:rsidTr="004A605E">
        <w:trPr>
          <w:trHeight w:val="448"/>
          <w:jc w:val="center"/>
        </w:trPr>
        <w:tc>
          <w:tcPr>
            <w:tcW w:w="3020" w:type="dxa"/>
            <w:tcBorders>
              <w:top w:val="nil"/>
              <w:left w:val="single" w:sz="8" w:space="0" w:color="auto"/>
              <w:bottom w:val="single" w:sz="8" w:space="0" w:color="auto"/>
              <w:right w:val="nil"/>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b/>
                <w:bCs/>
                <w:color w:val="000000"/>
              </w:rPr>
            </w:pPr>
            <w:r w:rsidRPr="00883A8A">
              <w:rPr>
                <w:rFonts w:ascii="Calibri" w:eastAsia="Times New Roman" w:hAnsi="Calibri" w:cs="Times New Roman"/>
                <w:b/>
                <w:bCs/>
                <w:color w:val="000000"/>
              </w:rPr>
              <w:t>Madhya Pradesh</w:t>
            </w:r>
          </w:p>
        </w:tc>
        <w:tc>
          <w:tcPr>
            <w:tcW w:w="1215" w:type="dxa"/>
            <w:tcBorders>
              <w:top w:val="nil"/>
              <w:left w:val="single" w:sz="8" w:space="0" w:color="auto"/>
              <w:bottom w:val="single" w:sz="4" w:space="0" w:color="auto"/>
              <w:right w:val="single" w:sz="4"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color w:val="000000"/>
              </w:rPr>
            </w:pPr>
            <w:r w:rsidRPr="00883A8A">
              <w:rPr>
                <w:rFonts w:ascii="Calibri" w:eastAsia="Times New Roman" w:hAnsi="Calibri" w:cs="Times New Roman"/>
                <w:color w:val="000000"/>
              </w:rPr>
              <w:t>25.8</w:t>
            </w:r>
          </w:p>
        </w:tc>
        <w:tc>
          <w:tcPr>
            <w:tcW w:w="810" w:type="dxa"/>
            <w:tcBorders>
              <w:top w:val="nil"/>
              <w:left w:val="nil"/>
              <w:bottom w:val="single" w:sz="4" w:space="0" w:color="auto"/>
              <w:right w:val="single" w:sz="4"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color w:val="000000"/>
              </w:rPr>
            </w:pPr>
            <w:r w:rsidRPr="00883A8A">
              <w:rPr>
                <w:rFonts w:ascii="Calibri" w:eastAsia="Times New Roman" w:hAnsi="Calibri" w:cs="Times New Roman"/>
                <w:color w:val="000000"/>
              </w:rPr>
              <w:t>17.3</w:t>
            </w:r>
          </w:p>
        </w:tc>
        <w:tc>
          <w:tcPr>
            <w:tcW w:w="1215" w:type="dxa"/>
            <w:tcBorders>
              <w:top w:val="nil"/>
              <w:left w:val="nil"/>
              <w:bottom w:val="single" w:sz="4" w:space="0" w:color="auto"/>
              <w:right w:val="single" w:sz="8"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color w:val="000000"/>
              </w:rPr>
            </w:pPr>
            <w:r w:rsidRPr="00883A8A">
              <w:rPr>
                <w:rFonts w:ascii="Calibri" w:eastAsia="Times New Roman" w:hAnsi="Calibri" w:cs="Times New Roman"/>
                <w:color w:val="000000"/>
              </w:rPr>
              <w:t>35</w:t>
            </w:r>
          </w:p>
        </w:tc>
      </w:tr>
      <w:tr w:rsidR="00883A8A" w:rsidRPr="00883A8A" w:rsidTr="004A605E">
        <w:trPr>
          <w:trHeight w:val="502"/>
          <w:jc w:val="center"/>
        </w:trPr>
        <w:tc>
          <w:tcPr>
            <w:tcW w:w="3020" w:type="dxa"/>
            <w:tcBorders>
              <w:top w:val="nil"/>
              <w:left w:val="single" w:sz="8" w:space="0" w:color="auto"/>
              <w:bottom w:val="single" w:sz="8" w:space="0" w:color="auto"/>
              <w:right w:val="nil"/>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b/>
                <w:bCs/>
                <w:color w:val="000000"/>
              </w:rPr>
            </w:pPr>
            <w:r w:rsidRPr="00883A8A">
              <w:rPr>
                <w:rFonts w:ascii="Calibri" w:eastAsia="Times New Roman" w:hAnsi="Calibri" w:cs="Times New Roman"/>
                <w:b/>
                <w:bCs/>
                <w:color w:val="000000"/>
              </w:rPr>
              <w:t>Uttarakhand</w:t>
            </w:r>
          </w:p>
        </w:tc>
        <w:tc>
          <w:tcPr>
            <w:tcW w:w="1215" w:type="dxa"/>
            <w:tcBorders>
              <w:top w:val="nil"/>
              <w:left w:val="single" w:sz="8" w:space="0" w:color="auto"/>
              <w:bottom w:val="single" w:sz="8" w:space="0" w:color="auto"/>
              <w:right w:val="single" w:sz="4"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color w:val="000000"/>
              </w:rPr>
            </w:pPr>
            <w:r w:rsidRPr="00883A8A">
              <w:rPr>
                <w:rFonts w:ascii="Calibri" w:eastAsia="Times New Roman" w:hAnsi="Calibri" w:cs="Times New Roman"/>
                <w:color w:val="000000"/>
              </w:rPr>
              <w:t>18.8</w:t>
            </w:r>
          </w:p>
        </w:tc>
        <w:tc>
          <w:tcPr>
            <w:tcW w:w="810" w:type="dxa"/>
            <w:tcBorders>
              <w:top w:val="nil"/>
              <w:left w:val="nil"/>
              <w:bottom w:val="single" w:sz="8" w:space="0" w:color="auto"/>
              <w:right w:val="single" w:sz="4"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color w:val="000000"/>
              </w:rPr>
            </w:pPr>
            <w:r w:rsidRPr="00883A8A">
              <w:rPr>
                <w:rFonts w:ascii="Calibri" w:eastAsia="Times New Roman" w:hAnsi="Calibri" w:cs="Times New Roman"/>
                <w:color w:val="000000"/>
              </w:rPr>
              <w:t>14.7</w:t>
            </w:r>
          </w:p>
        </w:tc>
        <w:tc>
          <w:tcPr>
            <w:tcW w:w="1215" w:type="dxa"/>
            <w:tcBorders>
              <w:top w:val="nil"/>
              <w:left w:val="nil"/>
              <w:bottom w:val="single" w:sz="8" w:space="0" w:color="auto"/>
              <w:right w:val="single" w:sz="8" w:space="0" w:color="auto"/>
            </w:tcBorders>
            <w:shd w:val="clear" w:color="auto" w:fill="auto"/>
            <w:noWrap/>
            <w:vAlign w:val="center"/>
            <w:hideMark/>
          </w:tcPr>
          <w:p w:rsidR="00883A8A" w:rsidRPr="00883A8A" w:rsidRDefault="00883A8A" w:rsidP="00882727">
            <w:pPr>
              <w:spacing w:after="0" w:line="240" w:lineRule="auto"/>
              <w:jc w:val="center"/>
              <w:rPr>
                <w:rFonts w:ascii="Calibri" w:eastAsia="Times New Roman" w:hAnsi="Calibri" w:cs="Times New Roman"/>
                <w:color w:val="000000"/>
              </w:rPr>
            </w:pPr>
            <w:r w:rsidRPr="00883A8A">
              <w:rPr>
                <w:rFonts w:ascii="Calibri" w:eastAsia="Times New Roman" w:hAnsi="Calibri" w:cs="Times New Roman"/>
                <w:color w:val="000000"/>
              </w:rPr>
              <w:t>19.5</w:t>
            </w:r>
          </w:p>
        </w:tc>
      </w:tr>
    </w:tbl>
    <w:p w:rsidR="000A3CAE" w:rsidRPr="004B1EBF" w:rsidRDefault="000A3CAE" w:rsidP="007B2B05">
      <w:pPr>
        <w:pStyle w:val="ListParagraph"/>
        <w:jc w:val="both"/>
        <w:rPr>
          <w:b/>
        </w:rPr>
      </w:pPr>
    </w:p>
    <w:p w:rsidR="004B1EBF" w:rsidRPr="004B1EBF" w:rsidRDefault="004B1EBF" w:rsidP="007B2B05">
      <w:pPr>
        <w:pStyle w:val="ListParagraph"/>
        <w:jc w:val="both"/>
        <w:rPr>
          <w:b/>
        </w:rPr>
      </w:pPr>
    </w:p>
    <w:p w:rsidR="004B1EBF" w:rsidRDefault="004B1EBF" w:rsidP="00E442FA">
      <w:pPr>
        <w:pStyle w:val="ListParagraph"/>
        <w:numPr>
          <w:ilvl w:val="0"/>
          <w:numId w:val="2"/>
        </w:numPr>
        <w:jc w:val="both"/>
      </w:pPr>
      <w:r w:rsidRPr="004B1EBF">
        <w:rPr>
          <w:b/>
        </w:rPr>
        <w:t xml:space="preserve">Children under 5 years </w:t>
      </w:r>
      <w:r w:rsidR="007A0160">
        <w:rPr>
          <w:b/>
        </w:rPr>
        <w:t>w</w:t>
      </w:r>
      <w:r w:rsidR="00C05499">
        <w:rPr>
          <w:b/>
        </w:rPr>
        <w:t>ho a</w:t>
      </w:r>
      <w:r w:rsidRPr="004B1EBF">
        <w:rPr>
          <w:b/>
        </w:rPr>
        <w:t xml:space="preserve">re </w:t>
      </w:r>
      <w:r>
        <w:rPr>
          <w:b/>
        </w:rPr>
        <w:t xml:space="preserve">severely </w:t>
      </w:r>
      <w:r w:rsidR="007A0160">
        <w:rPr>
          <w:b/>
        </w:rPr>
        <w:t xml:space="preserve">wasted </w:t>
      </w:r>
      <w:r w:rsidR="00C05499">
        <w:rPr>
          <w:b/>
        </w:rPr>
        <w:t>(weight for Height</w:t>
      </w:r>
      <w:r w:rsidRPr="004B1EBF">
        <w:rPr>
          <w:b/>
        </w:rPr>
        <w:t xml:space="preserve">) (- </w:t>
      </w:r>
      <w:r>
        <w:rPr>
          <w:b/>
        </w:rPr>
        <w:t>3</w:t>
      </w:r>
      <w:r w:rsidRPr="004B1EBF">
        <w:rPr>
          <w:b/>
        </w:rPr>
        <w:t>S</w:t>
      </w:r>
      <w:r w:rsidR="007A0160">
        <w:rPr>
          <w:b/>
        </w:rPr>
        <w:t>D</w:t>
      </w:r>
      <w:r w:rsidRPr="004B1EBF">
        <w:rPr>
          <w:b/>
        </w:rPr>
        <w:t>)</w:t>
      </w:r>
      <w:r w:rsidR="00B2271B" w:rsidRPr="00B2271B">
        <w:rPr>
          <w:b/>
          <w:bCs/>
        </w:rPr>
        <w:t xml:space="preserve"> </w:t>
      </w:r>
      <w:proofErr w:type="gramStart"/>
      <w:r w:rsidR="00B2271B">
        <w:rPr>
          <w:b/>
          <w:bCs/>
        </w:rPr>
        <w:t>( Graph</w:t>
      </w:r>
      <w:proofErr w:type="gramEnd"/>
      <w:r w:rsidR="00B2271B">
        <w:rPr>
          <w:b/>
          <w:bCs/>
        </w:rPr>
        <w:t xml:space="preserve"> 1</w:t>
      </w:r>
      <w:r w:rsidR="00B2271B">
        <w:rPr>
          <w:b/>
          <w:bCs/>
        </w:rPr>
        <w:t>8</w:t>
      </w:r>
      <w:r w:rsidR="00B2271B">
        <w:rPr>
          <w:b/>
          <w:bCs/>
        </w:rPr>
        <w:t xml:space="preserve">): </w:t>
      </w:r>
      <w:r w:rsidR="00EF1C6C" w:rsidRPr="00EF1C6C">
        <w:t>–Bihar and MP</w:t>
      </w:r>
      <w:r w:rsidR="00EF1C6C">
        <w:t xml:space="preserve"> both have shown d</w:t>
      </w:r>
      <w:r w:rsidR="0098677B">
        <w:t>ecline from NFHS III to NFHS IV</w:t>
      </w:r>
      <w:r w:rsidR="00EF1C6C">
        <w:t xml:space="preserve">. In Bihar it has gone down from 8.3% to 7%. In MP it has gone down from 12.6% to 9.2%. In </w:t>
      </w:r>
      <w:proofErr w:type="gramStart"/>
      <w:r w:rsidR="00EF1C6C">
        <w:t>Uttarakhand ,</w:t>
      </w:r>
      <w:proofErr w:type="gramEnd"/>
      <w:r w:rsidR="00EF1C6C">
        <w:t xml:space="preserve"> it has gone up from 5.3% to 9%.</w:t>
      </w:r>
    </w:p>
    <w:p w:rsidR="00EF1C6C" w:rsidRDefault="00EF1C6C" w:rsidP="007B2B05">
      <w:pPr>
        <w:pStyle w:val="ListParagraph"/>
        <w:jc w:val="both"/>
      </w:pPr>
    </w:p>
    <w:p w:rsidR="00EF1C6C" w:rsidRDefault="00EF1C6C" w:rsidP="00E442FA">
      <w:pPr>
        <w:pStyle w:val="ListParagraph"/>
        <w:numPr>
          <w:ilvl w:val="0"/>
          <w:numId w:val="2"/>
        </w:numPr>
        <w:jc w:val="both"/>
      </w:pPr>
      <w:r>
        <w:rPr>
          <w:b/>
        </w:rPr>
        <w:t>Children un</w:t>
      </w:r>
      <w:r w:rsidR="0098677B">
        <w:rPr>
          <w:b/>
        </w:rPr>
        <w:t>der 5 years who Are Underweight</w:t>
      </w:r>
      <w:r>
        <w:rPr>
          <w:b/>
        </w:rPr>
        <w:t xml:space="preserve"> (weight for age) (- 2S</w:t>
      </w:r>
      <w:r w:rsidR="0098677B">
        <w:rPr>
          <w:b/>
        </w:rPr>
        <w:t>D</w:t>
      </w:r>
      <w:r>
        <w:rPr>
          <w:b/>
        </w:rPr>
        <w:t>)</w:t>
      </w:r>
      <w:r w:rsidR="00B2271B" w:rsidRPr="00B2271B">
        <w:rPr>
          <w:b/>
          <w:bCs/>
        </w:rPr>
        <w:t xml:space="preserve"> </w:t>
      </w:r>
      <w:proofErr w:type="gramStart"/>
      <w:r w:rsidR="00B2271B">
        <w:rPr>
          <w:b/>
          <w:bCs/>
        </w:rPr>
        <w:t>( Graph</w:t>
      </w:r>
      <w:proofErr w:type="gramEnd"/>
      <w:r w:rsidR="00B2271B">
        <w:rPr>
          <w:b/>
          <w:bCs/>
        </w:rPr>
        <w:t xml:space="preserve"> 1</w:t>
      </w:r>
      <w:r w:rsidR="00B2271B">
        <w:rPr>
          <w:b/>
          <w:bCs/>
        </w:rPr>
        <w:t>9</w:t>
      </w:r>
      <w:r w:rsidR="00B2271B">
        <w:rPr>
          <w:b/>
          <w:bCs/>
        </w:rPr>
        <w:t xml:space="preserve">): </w:t>
      </w:r>
      <w:r>
        <w:rPr>
          <w:b/>
        </w:rPr>
        <w:t xml:space="preserve"> – </w:t>
      </w:r>
      <w:r>
        <w:t>All the three states have shown decline from NFHS III to NFHS IV. Bihar has declined from 55.9% to 43.9%</w:t>
      </w:r>
      <w:r w:rsidR="002F448F">
        <w:t>, MP has declined from 60% to 42.8% and Uttarakhand</w:t>
      </w:r>
      <w:r w:rsidR="0098677B">
        <w:t xml:space="preserve"> has declined</w:t>
      </w:r>
      <w:r w:rsidR="002F448F">
        <w:t xml:space="preserve"> from 38% to 26.6%</w:t>
      </w:r>
      <w:r w:rsidR="0098677B">
        <w:t>.</w:t>
      </w:r>
    </w:p>
    <w:p w:rsidR="002F448F" w:rsidRDefault="002F448F" w:rsidP="007B2B05">
      <w:pPr>
        <w:pStyle w:val="ListParagraph"/>
        <w:jc w:val="both"/>
      </w:pPr>
    </w:p>
    <w:p w:rsidR="002F448F" w:rsidRPr="002F448F" w:rsidRDefault="002F448F" w:rsidP="00E442FA">
      <w:pPr>
        <w:pStyle w:val="ListParagraph"/>
        <w:numPr>
          <w:ilvl w:val="0"/>
          <w:numId w:val="2"/>
        </w:numPr>
        <w:jc w:val="both"/>
        <w:rPr>
          <w:b/>
        </w:rPr>
      </w:pPr>
      <w:r w:rsidRPr="002F448F">
        <w:rPr>
          <w:b/>
        </w:rPr>
        <w:t xml:space="preserve">Children age 6-59 months who are </w:t>
      </w:r>
      <w:proofErr w:type="spellStart"/>
      <w:r w:rsidRPr="002F448F">
        <w:rPr>
          <w:b/>
        </w:rPr>
        <w:t>anaemic</w:t>
      </w:r>
      <w:proofErr w:type="spellEnd"/>
      <w:r w:rsidRPr="002F448F">
        <w:rPr>
          <w:b/>
        </w:rPr>
        <w:t xml:space="preserve"> (&lt;11.0 g/dl)</w:t>
      </w:r>
      <w:r w:rsidR="00B2271B" w:rsidRPr="00B2271B">
        <w:rPr>
          <w:b/>
          <w:bCs/>
        </w:rPr>
        <w:t xml:space="preserve"> </w:t>
      </w:r>
      <w:proofErr w:type="gramStart"/>
      <w:r w:rsidR="00B2271B">
        <w:rPr>
          <w:b/>
          <w:bCs/>
        </w:rPr>
        <w:t>( Graph</w:t>
      </w:r>
      <w:proofErr w:type="gramEnd"/>
      <w:r w:rsidR="00B2271B">
        <w:rPr>
          <w:b/>
          <w:bCs/>
        </w:rPr>
        <w:t xml:space="preserve"> </w:t>
      </w:r>
      <w:r w:rsidR="00B2271B">
        <w:rPr>
          <w:b/>
          <w:bCs/>
        </w:rPr>
        <w:t>20</w:t>
      </w:r>
      <w:r w:rsidR="00B2271B">
        <w:rPr>
          <w:b/>
          <w:bCs/>
        </w:rPr>
        <w:t xml:space="preserve">): </w:t>
      </w:r>
      <w:r>
        <w:rPr>
          <w:b/>
        </w:rPr>
        <w:t xml:space="preserve"> – </w:t>
      </w:r>
      <w:r>
        <w:t xml:space="preserve">More than </w:t>
      </w:r>
      <w:r w:rsidR="0098677B">
        <w:t>half (</w:t>
      </w:r>
      <w:r>
        <w:t>55%</w:t>
      </w:r>
      <w:r w:rsidR="0098677B">
        <w:t>)</w:t>
      </w:r>
      <w:r>
        <w:t xml:space="preserve"> children are </w:t>
      </w:r>
      <w:proofErr w:type="spellStart"/>
      <w:r>
        <w:t>anaemic</w:t>
      </w:r>
      <w:proofErr w:type="spellEnd"/>
      <w:r>
        <w:t xml:space="preserve"> in all the three states. In Bihar 63.5% </w:t>
      </w:r>
      <w:r w:rsidR="008771AD">
        <w:t>(NFHS</w:t>
      </w:r>
      <w:r>
        <w:t xml:space="preserve"> IV) children are </w:t>
      </w:r>
      <w:proofErr w:type="spellStart"/>
      <w:r>
        <w:t>anaemic</w:t>
      </w:r>
      <w:proofErr w:type="spellEnd"/>
      <w:r>
        <w:t>. It has</w:t>
      </w:r>
      <w:r w:rsidR="0098677B">
        <w:t xml:space="preserve"> </w:t>
      </w:r>
      <w:r>
        <w:t xml:space="preserve">come down from 78% (NFHS III).  In MP 68.9% are </w:t>
      </w:r>
      <w:proofErr w:type="spellStart"/>
      <w:r>
        <w:t>anaemic</w:t>
      </w:r>
      <w:proofErr w:type="spellEnd"/>
      <w:r>
        <w:t xml:space="preserve">, it has declined from 74% (NFHS III). In </w:t>
      </w:r>
      <w:r w:rsidR="008771AD">
        <w:t>Uttarakhand,</w:t>
      </w:r>
      <w:r>
        <w:t xml:space="preserve"> there is decline of just 0.9 points. It has come down from 60.7 % to 59.8%.</w:t>
      </w:r>
    </w:p>
    <w:p w:rsidR="002F448F" w:rsidRPr="002F448F" w:rsidRDefault="002F448F" w:rsidP="007B2B05">
      <w:pPr>
        <w:pStyle w:val="ListParagraph"/>
        <w:jc w:val="both"/>
        <w:rPr>
          <w:b/>
        </w:rPr>
      </w:pPr>
    </w:p>
    <w:p w:rsidR="002F448F" w:rsidRPr="00790C30" w:rsidRDefault="00790C30" w:rsidP="00E442FA">
      <w:pPr>
        <w:pStyle w:val="ListParagraph"/>
        <w:numPr>
          <w:ilvl w:val="0"/>
          <w:numId w:val="2"/>
        </w:numPr>
        <w:jc w:val="both"/>
        <w:rPr>
          <w:b/>
        </w:rPr>
      </w:pPr>
      <w:r w:rsidRPr="00790C30">
        <w:rPr>
          <w:b/>
        </w:rPr>
        <w:t xml:space="preserve">All women age 15-49 years who are </w:t>
      </w:r>
      <w:proofErr w:type="spellStart"/>
      <w:r w:rsidRPr="00790C30">
        <w:rPr>
          <w:b/>
        </w:rPr>
        <w:t>anaemic</w:t>
      </w:r>
      <w:proofErr w:type="spellEnd"/>
      <w:r w:rsidR="0098677B">
        <w:rPr>
          <w:b/>
        </w:rPr>
        <w:t xml:space="preserve"> </w:t>
      </w:r>
      <w:r w:rsidR="002A5C62" w:rsidRPr="002F448F">
        <w:rPr>
          <w:b/>
        </w:rPr>
        <w:t>(&lt;11.0 g/dl)</w:t>
      </w:r>
      <w:r w:rsidR="00B2271B" w:rsidRPr="00B2271B">
        <w:rPr>
          <w:b/>
          <w:bCs/>
        </w:rPr>
        <w:t xml:space="preserve"> </w:t>
      </w:r>
      <w:r w:rsidR="00B2271B">
        <w:rPr>
          <w:b/>
          <w:bCs/>
        </w:rPr>
        <w:t xml:space="preserve">( Graph </w:t>
      </w:r>
      <w:r w:rsidR="00B2271B">
        <w:rPr>
          <w:b/>
          <w:bCs/>
        </w:rPr>
        <w:t>2</w:t>
      </w:r>
      <w:r w:rsidR="00B2271B">
        <w:rPr>
          <w:b/>
          <w:bCs/>
        </w:rPr>
        <w:t xml:space="preserve">1): </w:t>
      </w:r>
      <w:r>
        <w:rPr>
          <w:b/>
        </w:rPr>
        <w:t xml:space="preserve"> –</w:t>
      </w:r>
      <w:r w:rsidR="0098677B">
        <w:t>NFHS IV shows that i</w:t>
      </w:r>
      <w:r>
        <w:t xml:space="preserve">n Bihar 60.3% women are </w:t>
      </w:r>
      <w:proofErr w:type="spellStart"/>
      <w:r>
        <w:t>anaemic</w:t>
      </w:r>
      <w:proofErr w:type="spellEnd"/>
      <w:r>
        <w:t xml:space="preserve">, in MP 52.5% and in Uttarakhand 45.2% women are </w:t>
      </w:r>
      <w:proofErr w:type="spellStart"/>
      <w:r>
        <w:t>anaemic</w:t>
      </w:r>
      <w:proofErr w:type="spellEnd"/>
      <w:r>
        <w:t>. All the three states have shown decline from NFHS III, maximum decline of 9.5 points is for Uttarakhand.</w:t>
      </w:r>
    </w:p>
    <w:p w:rsidR="00790C30" w:rsidRPr="00790C30" w:rsidRDefault="00790C30" w:rsidP="007B2B05">
      <w:pPr>
        <w:pStyle w:val="ListParagraph"/>
        <w:jc w:val="both"/>
        <w:rPr>
          <w:b/>
        </w:rPr>
      </w:pPr>
    </w:p>
    <w:p w:rsidR="00790C30" w:rsidRPr="00E21809" w:rsidRDefault="002A5C62" w:rsidP="00E442FA">
      <w:pPr>
        <w:pStyle w:val="ListParagraph"/>
        <w:numPr>
          <w:ilvl w:val="0"/>
          <w:numId w:val="2"/>
        </w:numPr>
        <w:jc w:val="both"/>
        <w:rPr>
          <w:b/>
        </w:rPr>
      </w:pPr>
      <w:r w:rsidRPr="002A5C62">
        <w:rPr>
          <w:b/>
        </w:rPr>
        <w:t xml:space="preserve">Men age 15-49 years who are </w:t>
      </w:r>
      <w:proofErr w:type="spellStart"/>
      <w:r w:rsidRPr="002A5C62">
        <w:rPr>
          <w:b/>
        </w:rPr>
        <w:t>anaemic</w:t>
      </w:r>
      <w:proofErr w:type="spellEnd"/>
      <w:r w:rsidRPr="002A5C62">
        <w:rPr>
          <w:b/>
        </w:rPr>
        <w:t xml:space="preserve"> (&lt;13.0 g/dl)</w:t>
      </w:r>
      <w:r>
        <w:rPr>
          <w:b/>
        </w:rPr>
        <w:t xml:space="preserve"> </w:t>
      </w:r>
      <w:proofErr w:type="gramStart"/>
      <w:r w:rsidR="00B2271B">
        <w:rPr>
          <w:b/>
          <w:bCs/>
        </w:rPr>
        <w:t>( Graph</w:t>
      </w:r>
      <w:proofErr w:type="gramEnd"/>
      <w:r w:rsidR="00B2271B">
        <w:rPr>
          <w:b/>
          <w:bCs/>
        </w:rPr>
        <w:t xml:space="preserve"> </w:t>
      </w:r>
      <w:r w:rsidR="00B2271B">
        <w:rPr>
          <w:b/>
          <w:bCs/>
        </w:rPr>
        <w:t>22</w:t>
      </w:r>
      <w:r w:rsidR="00B2271B">
        <w:rPr>
          <w:b/>
          <w:bCs/>
        </w:rPr>
        <w:t xml:space="preserve">): </w:t>
      </w:r>
      <w:r>
        <w:rPr>
          <w:b/>
        </w:rPr>
        <w:t xml:space="preserve">– </w:t>
      </w:r>
      <w:r w:rsidRPr="002A5C62">
        <w:t xml:space="preserve">MP has </w:t>
      </w:r>
      <w:r>
        <w:t>not shown any</w:t>
      </w:r>
      <w:r w:rsidRPr="002A5C62">
        <w:t xml:space="preserve"> </w:t>
      </w:r>
      <w:r w:rsidR="0098677B">
        <w:t>improvement</w:t>
      </w:r>
      <w:r>
        <w:t xml:space="preserve"> from NFHS III to NFHS IV. Now it is 25.5% and earlier it was 25.4%. Bihar has declined from 34.</w:t>
      </w:r>
      <w:r w:rsidR="00FB7D5C">
        <w:t>3%</w:t>
      </w:r>
      <w:r w:rsidR="0098677B">
        <w:t xml:space="preserve"> (NFHS III)</w:t>
      </w:r>
      <w:r w:rsidR="00FB7D5C">
        <w:t xml:space="preserve"> to 32.2% </w:t>
      </w:r>
      <w:r w:rsidR="0098677B">
        <w:t xml:space="preserve">(NFHS IV) </w:t>
      </w:r>
      <w:r w:rsidR="00FB7D5C">
        <w:t>and Uttarakhand has shown decline from 28.7</w:t>
      </w:r>
      <w:r w:rsidR="0098677B">
        <w:t>% (NFHS III)</w:t>
      </w:r>
      <w:r w:rsidR="00FB7D5C">
        <w:t xml:space="preserve"> to 15.5%</w:t>
      </w:r>
      <w:r w:rsidR="0098677B">
        <w:t xml:space="preserve"> (NFHS IV).</w:t>
      </w:r>
    </w:p>
    <w:p w:rsidR="00E21809" w:rsidRPr="00E21809" w:rsidRDefault="00E21809" w:rsidP="007B2B05">
      <w:pPr>
        <w:pStyle w:val="ListParagraph"/>
        <w:jc w:val="both"/>
        <w:rPr>
          <w:b/>
        </w:rPr>
      </w:pPr>
    </w:p>
    <w:p w:rsidR="00853EE3" w:rsidRPr="00853EE3" w:rsidRDefault="00E21809" w:rsidP="00E442FA">
      <w:pPr>
        <w:pStyle w:val="ListParagraph"/>
        <w:numPr>
          <w:ilvl w:val="0"/>
          <w:numId w:val="2"/>
        </w:numPr>
        <w:jc w:val="both"/>
        <w:rPr>
          <w:b/>
        </w:rPr>
      </w:pPr>
      <w:r w:rsidRPr="00E21809">
        <w:rPr>
          <w:b/>
        </w:rPr>
        <w:t xml:space="preserve">Blood Sugar Level among Adults (age 15-49 years) -Blood sugar level - </w:t>
      </w:r>
      <w:r>
        <w:rPr>
          <w:b/>
        </w:rPr>
        <w:t>high (&gt;14</w:t>
      </w:r>
      <w:r w:rsidRPr="00E21809">
        <w:rPr>
          <w:b/>
        </w:rPr>
        <w:t>0 mg/dl)</w:t>
      </w:r>
      <w:r w:rsidR="00B2271B" w:rsidRPr="00B2271B">
        <w:rPr>
          <w:b/>
          <w:bCs/>
        </w:rPr>
        <w:t xml:space="preserve"> </w:t>
      </w:r>
      <w:proofErr w:type="gramStart"/>
      <w:r w:rsidR="00B2271B">
        <w:rPr>
          <w:b/>
          <w:bCs/>
        </w:rPr>
        <w:t>( Graph</w:t>
      </w:r>
      <w:proofErr w:type="gramEnd"/>
      <w:r w:rsidR="00B2271B">
        <w:rPr>
          <w:b/>
          <w:bCs/>
        </w:rPr>
        <w:t xml:space="preserve"> </w:t>
      </w:r>
      <w:r w:rsidR="00B2271B">
        <w:rPr>
          <w:b/>
          <w:bCs/>
        </w:rPr>
        <w:t>23</w:t>
      </w:r>
      <w:r w:rsidR="00B2271B">
        <w:rPr>
          <w:b/>
          <w:bCs/>
        </w:rPr>
        <w:t xml:space="preserve">): </w:t>
      </w:r>
      <w:r w:rsidR="00D05315">
        <w:rPr>
          <w:b/>
        </w:rPr>
        <w:t xml:space="preserve"> </w:t>
      </w:r>
      <w:r>
        <w:rPr>
          <w:b/>
        </w:rPr>
        <w:t xml:space="preserve">- </w:t>
      </w:r>
      <w:r w:rsidR="00B45EEB">
        <w:t>This is the first time NFHS has surveyed for blood sugar</w:t>
      </w:r>
      <w:r w:rsidR="00D05315">
        <w:t xml:space="preserve"> level</w:t>
      </w:r>
      <w:r w:rsidR="00B45EEB">
        <w:t>. In all the three states</w:t>
      </w:r>
      <w:r w:rsidR="00853EE3">
        <w:t xml:space="preserve">, blood sugar level &gt;140 mg/dl amongst men is higher than amongst women. In Bihar and MP </w:t>
      </w:r>
      <w:r w:rsidR="00D05315">
        <w:t xml:space="preserve">each, </w:t>
      </w:r>
      <w:r w:rsidR="00853EE3">
        <w:t xml:space="preserve">6.7% men have blood sugar level &gt;140 </w:t>
      </w:r>
      <w:r w:rsidR="00D05315">
        <w:t xml:space="preserve">mg/dl </w:t>
      </w:r>
      <w:r w:rsidR="00853EE3">
        <w:t>as compared to 4.2% women in Bihar and 5.1% in MP. In Uttarakhand</w:t>
      </w:r>
      <w:r w:rsidR="00D05315">
        <w:t>,</w:t>
      </w:r>
      <w:r w:rsidR="00853EE3">
        <w:t xml:space="preserve"> 8.8% men have blood sugar level &gt;140</w:t>
      </w:r>
      <w:r w:rsidR="00D05315">
        <w:t xml:space="preserve"> mg/dl</w:t>
      </w:r>
      <w:r w:rsidR="00853EE3">
        <w:t xml:space="preserve"> as compared to 6.1% women.</w:t>
      </w:r>
    </w:p>
    <w:p w:rsidR="00853EE3" w:rsidRDefault="00853EE3" w:rsidP="007B2B05">
      <w:pPr>
        <w:pStyle w:val="ListParagraph"/>
        <w:jc w:val="both"/>
      </w:pPr>
    </w:p>
    <w:p w:rsidR="00E21809" w:rsidRDefault="00853EE3" w:rsidP="00E442FA">
      <w:pPr>
        <w:pStyle w:val="ListParagraph"/>
        <w:numPr>
          <w:ilvl w:val="0"/>
          <w:numId w:val="2"/>
        </w:numPr>
        <w:jc w:val="both"/>
      </w:pPr>
      <w:r w:rsidRPr="00D83034">
        <w:rPr>
          <w:b/>
        </w:rPr>
        <w:t xml:space="preserve">Blood Sugar Level among Adults (age 15-49 years) - Blood sugar level - very high (&gt;160 mg/dl) </w:t>
      </w:r>
      <w:proofErr w:type="gramStart"/>
      <w:r w:rsidR="00B2271B">
        <w:rPr>
          <w:b/>
          <w:bCs/>
        </w:rPr>
        <w:t>( Graph</w:t>
      </w:r>
      <w:proofErr w:type="gramEnd"/>
      <w:r w:rsidR="00B2271B">
        <w:rPr>
          <w:b/>
          <w:bCs/>
        </w:rPr>
        <w:t xml:space="preserve"> </w:t>
      </w:r>
      <w:r w:rsidR="00B2271B">
        <w:rPr>
          <w:b/>
          <w:bCs/>
        </w:rPr>
        <w:t>24</w:t>
      </w:r>
      <w:r w:rsidR="00B2271B">
        <w:rPr>
          <w:b/>
          <w:bCs/>
        </w:rPr>
        <w:t xml:space="preserve">): </w:t>
      </w:r>
      <w:r w:rsidRPr="00D83034">
        <w:rPr>
          <w:b/>
        </w:rPr>
        <w:t xml:space="preserve"> -</w:t>
      </w:r>
      <w:r w:rsidR="00D05315">
        <w:rPr>
          <w:b/>
        </w:rPr>
        <w:t xml:space="preserve"> </w:t>
      </w:r>
      <w:r w:rsidRPr="00853EE3">
        <w:t xml:space="preserve">In Bihar </w:t>
      </w:r>
      <w:r>
        <w:t>3.3</w:t>
      </w:r>
      <w:r w:rsidRPr="00853EE3">
        <w:t>%</w:t>
      </w:r>
      <w:r>
        <w:t>men</w:t>
      </w:r>
      <w:r w:rsidR="00446D3D">
        <w:t xml:space="preserve"> and 1.9% women </w:t>
      </w:r>
      <w:r>
        <w:t>, in MP 2</w:t>
      </w:r>
      <w:r w:rsidR="00446D3D">
        <w:t>.1% men and 2.1% women and in Uttarakhand 4.6% men and 2.5% women ha</w:t>
      </w:r>
      <w:r w:rsidR="00D05315">
        <w:t>ve Blood sugar level &gt;160 mg/dl.</w:t>
      </w:r>
    </w:p>
    <w:p w:rsidR="00D83034" w:rsidRDefault="00D83034" w:rsidP="007B2B05">
      <w:pPr>
        <w:pStyle w:val="ListParagraph"/>
        <w:jc w:val="both"/>
      </w:pPr>
    </w:p>
    <w:p w:rsidR="00D83034" w:rsidRPr="00D83034" w:rsidRDefault="00D83034" w:rsidP="00E442FA">
      <w:pPr>
        <w:pStyle w:val="ListParagraph"/>
        <w:numPr>
          <w:ilvl w:val="0"/>
          <w:numId w:val="2"/>
        </w:numPr>
        <w:jc w:val="both"/>
        <w:rPr>
          <w:b/>
        </w:rPr>
      </w:pPr>
      <w:r w:rsidRPr="00D83034">
        <w:rPr>
          <w:b/>
        </w:rPr>
        <w:t>Hypertension among Adults (age 15-49 years) - Slightly above normal (Systolic 140-159 mm of Hg and/or Diastolic 90-99 mm of Hg)</w:t>
      </w:r>
      <w:r w:rsidR="00B2271B" w:rsidRPr="00B2271B">
        <w:rPr>
          <w:b/>
          <w:bCs/>
        </w:rPr>
        <w:t xml:space="preserve"> </w:t>
      </w:r>
      <w:r w:rsidR="00B2271B">
        <w:rPr>
          <w:b/>
          <w:bCs/>
        </w:rPr>
        <w:t xml:space="preserve">( Graph </w:t>
      </w:r>
      <w:r w:rsidR="00B2271B">
        <w:rPr>
          <w:b/>
          <w:bCs/>
        </w:rPr>
        <w:t>25</w:t>
      </w:r>
      <w:r w:rsidR="00B2271B">
        <w:rPr>
          <w:b/>
          <w:bCs/>
        </w:rPr>
        <w:t xml:space="preserve">): </w:t>
      </w:r>
      <w:r>
        <w:rPr>
          <w:b/>
        </w:rPr>
        <w:t xml:space="preserve"> –</w:t>
      </w:r>
      <w:r>
        <w:t xml:space="preserve"> In Uttarakhand 13.1%, in MP 8.2% and 7.6% men in Bihar have </w:t>
      </w:r>
      <w:r w:rsidRPr="00D83034">
        <w:t xml:space="preserve">Hypertension </w:t>
      </w:r>
      <w:r w:rsidR="00D256BE">
        <w:t xml:space="preserve">slightly </w:t>
      </w:r>
      <w:r w:rsidRPr="00D83034">
        <w:t>above normal</w:t>
      </w:r>
      <w:r>
        <w:t xml:space="preserve"> (</w:t>
      </w:r>
      <w:r w:rsidRPr="00D83034">
        <w:t>Systolic 140-159 mm of Hg and/or Diastolic 90-99 mm of Hg)</w:t>
      </w:r>
      <w:r>
        <w:t xml:space="preserve">. </w:t>
      </w:r>
      <w:r w:rsidR="00D05315">
        <w:t xml:space="preserve">Amongst women, </w:t>
      </w:r>
      <w:r>
        <w:t xml:space="preserve">In </w:t>
      </w:r>
      <w:r w:rsidR="00D05315">
        <w:t>B</w:t>
      </w:r>
      <w:r>
        <w:t xml:space="preserve">ihar 4.4%, in MP 6.1% and in Uttarakhand 7.2% women </w:t>
      </w:r>
      <w:proofErr w:type="gramStart"/>
      <w:r>
        <w:t>have</w:t>
      </w:r>
      <w:proofErr w:type="gramEnd"/>
      <w:r>
        <w:t xml:space="preserve"> Hypertension </w:t>
      </w:r>
      <w:r w:rsidR="00D256BE">
        <w:t>slightly</w:t>
      </w:r>
      <w:r>
        <w:t xml:space="preserve"> above normal.</w:t>
      </w:r>
    </w:p>
    <w:p w:rsidR="00D83034" w:rsidRPr="00D83034" w:rsidRDefault="00D83034" w:rsidP="007B2B05">
      <w:pPr>
        <w:pStyle w:val="ListParagraph"/>
        <w:jc w:val="both"/>
        <w:rPr>
          <w:b/>
        </w:rPr>
      </w:pPr>
    </w:p>
    <w:p w:rsidR="00D83034" w:rsidRPr="00847AE2" w:rsidRDefault="00D41743" w:rsidP="00E442FA">
      <w:pPr>
        <w:pStyle w:val="ListParagraph"/>
        <w:numPr>
          <w:ilvl w:val="0"/>
          <w:numId w:val="2"/>
        </w:numPr>
        <w:jc w:val="both"/>
        <w:rPr>
          <w:b/>
        </w:rPr>
      </w:pPr>
      <w:r w:rsidRPr="00D41743">
        <w:rPr>
          <w:b/>
        </w:rPr>
        <w:t>Hypertension among Adults (age 15-49 years) -  Moderately high (Systolic 160-179 mm of Hg and/or Diastolic 100-109 mm of Hg)</w:t>
      </w:r>
      <w:r w:rsidR="00B2271B" w:rsidRPr="00B2271B">
        <w:rPr>
          <w:b/>
          <w:bCs/>
        </w:rPr>
        <w:t xml:space="preserve"> </w:t>
      </w:r>
      <w:r w:rsidR="00B2271B">
        <w:rPr>
          <w:b/>
          <w:bCs/>
        </w:rPr>
        <w:t xml:space="preserve">( Graph </w:t>
      </w:r>
      <w:r w:rsidR="00B2271B">
        <w:rPr>
          <w:b/>
          <w:bCs/>
        </w:rPr>
        <w:t>26)</w:t>
      </w:r>
      <w:r w:rsidR="00B2271B">
        <w:rPr>
          <w:b/>
          <w:bCs/>
        </w:rPr>
        <w:t xml:space="preserve">: </w:t>
      </w:r>
      <w:r>
        <w:rPr>
          <w:b/>
        </w:rPr>
        <w:t xml:space="preserve"> – </w:t>
      </w:r>
      <w:r>
        <w:t xml:space="preserve">In Bihar 1.3% men and 0.9% women, in Madhya Pradesh2% men and 1.2% women and in Uttarakhand 3.3% men and 1.6% women have </w:t>
      </w:r>
      <w:r w:rsidRPr="00D41743">
        <w:t xml:space="preserve">Hypertension </w:t>
      </w:r>
      <w:r>
        <w:t>m</w:t>
      </w:r>
      <w:r w:rsidRPr="00D41743">
        <w:t>oderately high (Systolic 160-179 mm of Hg and/or Diastolic 100-109 mm of Hg)</w:t>
      </w:r>
      <w:r w:rsidR="00E4403D">
        <w:t>.</w:t>
      </w:r>
    </w:p>
    <w:p w:rsidR="00847AE2" w:rsidRPr="00847AE2" w:rsidRDefault="00847AE2" w:rsidP="007B2B05">
      <w:pPr>
        <w:pStyle w:val="ListParagraph"/>
        <w:jc w:val="both"/>
        <w:rPr>
          <w:b/>
        </w:rPr>
      </w:pPr>
    </w:p>
    <w:p w:rsidR="00847AE2" w:rsidRPr="00847AE2" w:rsidRDefault="00847AE2" w:rsidP="00E442FA">
      <w:pPr>
        <w:pStyle w:val="ListParagraph"/>
        <w:numPr>
          <w:ilvl w:val="0"/>
          <w:numId w:val="2"/>
        </w:numPr>
        <w:jc w:val="both"/>
      </w:pPr>
      <w:r w:rsidRPr="00847AE2">
        <w:rPr>
          <w:b/>
        </w:rPr>
        <w:t>Hypertension among Adults (age 15-49 years) - Very high (Systolic ≥180 mm of Hg and</w:t>
      </w:r>
      <w:r>
        <w:rPr>
          <w:b/>
        </w:rPr>
        <w:t xml:space="preserve">/or Diastolic ≥110 mm of Hg) </w:t>
      </w:r>
      <w:proofErr w:type="gramStart"/>
      <w:r w:rsidR="00B2271B">
        <w:rPr>
          <w:b/>
          <w:bCs/>
        </w:rPr>
        <w:t>( Graph</w:t>
      </w:r>
      <w:proofErr w:type="gramEnd"/>
      <w:r w:rsidR="00B2271B">
        <w:rPr>
          <w:b/>
          <w:bCs/>
        </w:rPr>
        <w:t xml:space="preserve"> </w:t>
      </w:r>
      <w:r w:rsidR="00B2271B">
        <w:rPr>
          <w:b/>
          <w:bCs/>
        </w:rPr>
        <w:t>27</w:t>
      </w:r>
      <w:r w:rsidR="00B2271B">
        <w:rPr>
          <w:b/>
          <w:bCs/>
        </w:rPr>
        <w:t xml:space="preserve">): </w:t>
      </w:r>
      <w:r>
        <w:rPr>
          <w:b/>
        </w:rPr>
        <w:t xml:space="preserve">– </w:t>
      </w:r>
      <w:r w:rsidRPr="00847AE2">
        <w:t>0.</w:t>
      </w:r>
      <w:r>
        <w:t xml:space="preserve">6% women in Bihar and </w:t>
      </w:r>
      <w:r w:rsidRPr="00847AE2">
        <w:t xml:space="preserve"> MP</w:t>
      </w:r>
      <w:r w:rsidR="00E4403D">
        <w:t xml:space="preserve"> each </w:t>
      </w:r>
      <w:r w:rsidRPr="00847AE2">
        <w:t xml:space="preserve">and 0.8% </w:t>
      </w:r>
      <w:r>
        <w:t xml:space="preserve"> women in Uttarakhand have v</w:t>
      </w:r>
      <w:r w:rsidRPr="00847AE2">
        <w:t>ery high Hypertension (Systolic ≥180 mm of Hg and/or Diast</w:t>
      </w:r>
      <w:r>
        <w:t>olic ≥110 mm of Hg) , whereas 0.5% men in Bihar, 0.7% in MP and 0.8% in Uttarakhand have v</w:t>
      </w:r>
      <w:r w:rsidRPr="00847AE2">
        <w:t>ery high Hypertension</w:t>
      </w:r>
      <w:r w:rsidR="00E4403D">
        <w:t>.</w:t>
      </w:r>
    </w:p>
    <w:p w:rsidR="007D2960" w:rsidRPr="00847AE2" w:rsidRDefault="007D2960" w:rsidP="007D2960">
      <w:pPr>
        <w:pStyle w:val="ListParagraph"/>
      </w:pPr>
    </w:p>
    <w:p w:rsidR="00453EDB" w:rsidRPr="007D2960" w:rsidRDefault="00453EDB" w:rsidP="00E4403D"/>
    <w:p w:rsidR="007D2960" w:rsidRDefault="0008293C" w:rsidP="007D2960">
      <w:pPr>
        <w:pStyle w:val="ListParagraph"/>
      </w:pPr>
      <w:r>
        <w:rPr>
          <w:noProof/>
        </w:rPr>
        <w:drawing>
          <wp:inline distT="0" distB="0" distL="0" distR="0" wp14:anchorId="537FD50E" wp14:editId="04B5FF6B">
            <wp:extent cx="5743575" cy="33242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7742" w:rsidRPr="001E7742" w:rsidRDefault="001E7742" w:rsidP="001E7742">
      <w:pPr>
        <w:pStyle w:val="ListParagraph"/>
        <w:rPr>
          <w:b/>
        </w:rPr>
      </w:pPr>
    </w:p>
    <w:p w:rsidR="001B14E7" w:rsidRPr="0010061D" w:rsidRDefault="0010061D" w:rsidP="0010061D">
      <w:pPr>
        <w:jc w:val="center"/>
        <w:rPr>
          <w:b/>
          <w:sz w:val="24"/>
        </w:rPr>
      </w:pPr>
      <w:r w:rsidRPr="0010061D">
        <w:rPr>
          <w:b/>
          <w:sz w:val="24"/>
        </w:rPr>
        <w:t>Graph 1</w:t>
      </w:r>
    </w:p>
    <w:p w:rsidR="004B790D" w:rsidRDefault="004B790D">
      <w:r>
        <w:rPr>
          <w:noProof/>
        </w:rPr>
        <w:lastRenderedPageBreak/>
        <w:drawing>
          <wp:inline distT="0" distB="0" distL="0" distR="0">
            <wp:extent cx="5743575" cy="2943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061D" w:rsidRPr="0010061D" w:rsidRDefault="0010061D" w:rsidP="0010061D">
      <w:pPr>
        <w:jc w:val="center"/>
        <w:rPr>
          <w:b/>
          <w:sz w:val="24"/>
        </w:rPr>
      </w:pPr>
      <w:r w:rsidRPr="0010061D">
        <w:rPr>
          <w:b/>
          <w:sz w:val="24"/>
        </w:rPr>
        <w:t xml:space="preserve">Graph </w:t>
      </w:r>
      <w:r>
        <w:rPr>
          <w:b/>
          <w:sz w:val="24"/>
        </w:rPr>
        <w:t>2</w:t>
      </w:r>
    </w:p>
    <w:p w:rsidR="004B790D" w:rsidRDefault="004B790D"/>
    <w:p w:rsidR="004B790D" w:rsidRDefault="004B790D"/>
    <w:p w:rsidR="004B790D" w:rsidRDefault="004B790D">
      <w:r>
        <w:rPr>
          <w:noProof/>
        </w:rPr>
        <w:drawing>
          <wp:inline distT="0" distB="0" distL="0" distR="0">
            <wp:extent cx="5743575" cy="2943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790D" w:rsidRDefault="004B790D"/>
    <w:p w:rsidR="0010061D" w:rsidRPr="0010061D" w:rsidRDefault="0010061D" w:rsidP="0010061D">
      <w:pPr>
        <w:jc w:val="center"/>
        <w:rPr>
          <w:b/>
          <w:sz w:val="24"/>
        </w:rPr>
      </w:pPr>
      <w:r w:rsidRPr="0010061D">
        <w:rPr>
          <w:b/>
          <w:sz w:val="24"/>
        </w:rPr>
        <w:t xml:space="preserve">Graph </w:t>
      </w:r>
      <w:r>
        <w:rPr>
          <w:b/>
          <w:sz w:val="24"/>
        </w:rPr>
        <w:t>3</w:t>
      </w:r>
    </w:p>
    <w:p w:rsidR="004B790D" w:rsidRDefault="004B790D"/>
    <w:p w:rsidR="004B790D" w:rsidRDefault="004B790D"/>
    <w:p w:rsidR="004B790D" w:rsidRDefault="004B790D"/>
    <w:p w:rsidR="004B790D" w:rsidRDefault="004B790D"/>
    <w:p w:rsidR="004B790D" w:rsidRDefault="004B790D">
      <w:r>
        <w:rPr>
          <w:noProof/>
        </w:rPr>
        <w:drawing>
          <wp:inline distT="0" distB="0" distL="0" distR="0">
            <wp:extent cx="5743575" cy="29432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061D" w:rsidRPr="0010061D" w:rsidRDefault="0010061D" w:rsidP="0010061D">
      <w:pPr>
        <w:jc w:val="center"/>
        <w:rPr>
          <w:b/>
          <w:sz w:val="24"/>
        </w:rPr>
      </w:pPr>
      <w:r w:rsidRPr="0010061D">
        <w:rPr>
          <w:b/>
          <w:sz w:val="24"/>
        </w:rPr>
        <w:t xml:space="preserve">Graph </w:t>
      </w:r>
      <w:r>
        <w:rPr>
          <w:b/>
          <w:sz w:val="24"/>
        </w:rPr>
        <w:t>4</w:t>
      </w:r>
    </w:p>
    <w:p w:rsidR="004B790D" w:rsidRDefault="004B790D"/>
    <w:p w:rsidR="004B790D" w:rsidRDefault="004B790D"/>
    <w:p w:rsidR="004B790D" w:rsidRDefault="004B790D"/>
    <w:p w:rsidR="004B790D" w:rsidRDefault="004B790D">
      <w:r>
        <w:rPr>
          <w:noProof/>
        </w:rPr>
        <w:drawing>
          <wp:inline distT="0" distB="0" distL="0" distR="0">
            <wp:extent cx="5743575" cy="29432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790D" w:rsidRDefault="004B790D"/>
    <w:p w:rsidR="0010061D" w:rsidRPr="0010061D" w:rsidRDefault="0010061D" w:rsidP="0010061D">
      <w:pPr>
        <w:jc w:val="center"/>
        <w:rPr>
          <w:b/>
          <w:sz w:val="24"/>
        </w:rPr>
      </w:pPr>
      <w:r w:rsidRPr="0010061D">
        <w:rPr>
          <w:b/>
          <w:sz w:val="24"/>
        </w:rPr>
        <w:t xml:space="preserve">Graph </w:t>
      </w:r>
      <w:r>
        <w:rPr>
          <w:b/>
          <w:sz w:val="24"/>
        </w:rPr>
        <w:t>5</w:t>
      </w:r>
    </w:p>
    <w:p w:rsidR="004B790D" w:rsidRDefault="004B790D"/>
    <w:p w:rsidR="004B790D" w:rsidRDefault="004B790D"/>
    <w:p w:rsidR="004B790D" w:rsidRDefault="004B790D"/>
    <w:p w:rsidR="00697716" w:rsidRDefault="00697716">
      <w:r>
        <w:rPr>
          <w:noProof/>
        </w:rPr>
        <w:drawing>
          <wp:inline distT="0" distB="0" distL="0" distR="0">
            <wp:extent cx="5743575" cy="29432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061D" w:rsidRPr="0010061D" w:rsidRDefault="0010061D" w:rsidP="0010061D">
      <w:pPr>
        <w:jc w:val="center"/>
        <w:rPr>
          <w:b/>
          <w:sz w:val="24"/>
        </w:rPr>
      </w:pPr>
      <w:r w:rsidRPr="0010061D">
        <w:rPr>
          <w:b/>
          <w:sz w:val="24"/>
        </w:rPr>
        <w:t xml:space="preserve">Graph </w:t>
      </w:r>
      <w:r>
        <w:rPr>
          <w:b/>
          <w:sz w:val="24"/>
        </w:rPr>
        <w:t>6</w:t>
      </w:r>
    </w:p>
    <w:p w:rsidR="00697716" w:rsidRDefault="00697716"/>
    <w:p w:rsidR="00697716" w:rsidRDefault="00697716"/>
    <w:p w:rsidR="004B790D" w:rsidRDefault="00697716">
      <w:r>
        <w:rPr>
          <w:noProof/>
        </w:rPr>
        <w:drawing>
          <wp:inline distT="0" distB="0" distL="0" distR="0">
            <wp:extent cx="5743575" cy="29432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061D" w:rsidRPr="0010061D" w:rsidRDefault="0010061D" w:rsidP="0010061D">
      <w:pPr>
        <w:jc w:val="center"/>
        <w:rPr>
          <w:b/>
          <w:sz w:val="24"/>
        </w:rPr>
      </w:pPr>
      <w:r w:rsidRPr="0010061D">
        <w:rPr>
          <w:b/>
          <w:sz w:val="24"/>
        </w:rPr>
        <w:t xml:space="preserve">Graph </w:t>
      </w:r>
      <w:r>
        <w:rPr>
          <w:b/>
          <w:sz w:val="24"/>
        </w:rPr>
        <w:t>7</w:t>
      </w:r>
    </w:p>
    <w:p w:rsidR="00697716" w:rsidRDefault="00697716"/>
    <w:p w:rsidR="00697716" w:rsidRDefault="00697716"/>
    <w:p w:rsidR="00697716" w:rsidRDefault="00697716"/>
    <w:p w:rsidR="00697716" w:rsidRDefault="00697716">
      <w:r>
        <w:rPr>
          <w:noProof/>
        </w:rPr>
        <w:drawing>
          <wp:inline distT="0" distB="0" distL="0" distR="0">
            <wp:extent cx="5743575" cy="29432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061D" w:rsidRPr="0010061D" w:rsidRDefault="0010061D" w:rsidP="0010061D">
      <w:pPr>
        <w:jc w:val="center"/>
        <w:rPr>
          <w:b/>
          <w:sz w:val="24"/>
        </w:rPr>
      </w:pPr>
      <w:r w:rsidRPr="0010061D">
        <w:rPr>
          <w:b/>
          <w:sz w:val="24"/>
        </w:rPr>
        <w:t xml:space="preserve">Graph </w:t>
      </w:r>
      <w:r>
        <w:rPr>
          <w:b/>
          <w:sz w:val="24"/>
        </w:rPr>
        <w:t>8</w:t>
      </w:r>
    </w:p>
    <w:p w:rsidR="00697716" w:rsidRDefault="00697716"/>
    <w:p w:rsidR="00697716" w:rsidRDefault="00697716"/>
    <w:p w:rsidR="00697716" w:rsidRDefault="00697716"/>
    <w:p w:rsidR="00697716" w:rsidRDefault="00697716">
      <w:r>
        <w:rPr>
          <w:noProof/>
        </w:rPr>
        <w:drawing>
          <wp:inline distT="0" distB="0" distL="0" distR="0">
            <wp:extent cx="5743575" cy="29432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0061D" w:rsidRPr="0010061D" w:rsidRDefault="0010061D" w:rsidP="0010061D">
      <w:pPr>
        <w:jc w:val="center"/>
        <w:rPr>
          <w:b/>
          <w:sz w:val="24"/>
        </w:rPr>
      </w:pPr>
      <w:r w:rsidRPr="0010061D">
        <w:rPr>
          <w:b/>
          <w:sz w:val="24"/>
        </w:rPr>
        <w:t xml:space="preserve">Graph </w:t>
      </w:r>
      <w:r>
        <w:rPr>
          <w:b/>
          <w:sz w:val="24"/>
        </w:rPr>
        <w:t>9</w:t>
      </w:r>
    </w:p>
    <w:p w:rsidR="00697716" w:rsidRDefault="00697716"/>
    <w:p w:rsidR="00332728" w:rsidRDefault="00332728"/>
    <w:p w:rsidR="00332728" w:rsidRDefault="00332728"/>
    <w:p w:rsidR="00332728" w:rsidRDefault="00332728">
      <w:r>
        <w:rPr>
          <w:noProof/>
        </w:rPr>
        <w:drawing>
          <wp:inline distT="0" distB="0" distL="0" distR="0">
            <wp:extent cx="5743575" cy="29432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061D" w:rsidRPr="0010061D" w:rsidRDefault="0010061D" w:rsidP="0010061D">
      <w:pPr>
        <w:jc w:val="center"/>
        <w:rPr>
          <w:b/>
          <w:sz w:val="24"/>
        </w:rPr>
      </w:pPr>
      <w:r w:rsidRPr="0010061D">
        <w:rPr>
          <w:b/>
          <w:sz w:val="24"/>
        </w:rPr>
        <w:t>Graph 1</w:t>
      </w:r>
      <w:r>
        <w:rPr>
          <w:b/>
          <w:sz w:val="24"/>
        </w:rPr>
        <w:t>0</w:t>
      </w:r>
    </w:p>
    <w:p w:rsidR="00332728" w:rsidRDefault="00332728"/>
    <w:p w:rsidR="00332728" w:rsidRDefault="00332728"/>
    <w:p w:rsidR="00332728" w:rsidRDefault="00332728"/>
    <w:p w:rsidR="00332728" w:rsidRDefault="00DE2F29">
      <w:r>
        <w:rPr>
          <w:noProof/>
        </w:rPr>
        <w:drawing>
          <wp:inline distT="0" distB="0" distL="0" distR="0">
            <wp:extent cx="5743575" cy="29432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0061D" w:rsidRPr="0010061D" w:rsidRDefault="0010061D" w:rsidP="0010061D">
      <w:pPr>
        <w:jc w:val="center"/>
        <w:rPr>
          <w:b/>
          <w:sz w:val="24"/>
        </w:rPr>
      </w:pPr>
      <w:r w:rsidRPr="0010061D">
        <w:rPr>
          <w:b/>
          <w:sz w:val="24"/>
        </w:rPr>
        <w:t>Graph 1</w:t>
      </w:r>
      <w:r>
        <w:rPr>
          <w:b/>
          <w:sz w:val="24"/>
        </w:rPr>
        <w:t>1</w:t>
      </w:r>
    </w:p>
    <w:p w:rsidR="00332728" w:rsidRDefault="00332728"/>
    <w:p w:rsidR="00332728" w:rsidRDefault="00332728"/>
    <w:p w:rsidR="00332728" w:rsidRDefault="00332728"/>
    <w:p w:rsidR="00332728" w:rsidRDefault="00332728">
      <w:r>
        <w:rPr>
          <w:noProof/>
        </w:rPr>
        <w:drawing>
          <wp:inline distT="0" distB="0" distL="0" distR="0">
            <wp:extent cx="5743575" cy="29432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32728" w:rsidRDefault="00332728"/>
    <w:p w:rsidR="0010061D" w:rsidRPr="0010061D" w:rsidRDefault="0010061D" w:rsidP="0010061D">
      <w:pPr>
        <w:jc w:val="center"/>
        <w:rPr>
          <w:b/>
          <w:sz w:val="24"/>
        </w:rPr>
      </w:pPr>
      <w:r w:rsidRPr="0010061D">
        <w:rPr>
          <w:b/>
          <w:sz w:val="24"/>
        </w:rPr>
        <w:t>Graph 1</w:t>
      </w:r>
      <w:r>
        <w:rPr>
          <w:b/>
          <w:sz w:val="24"/>
        </w:rPr>
        <w:t>2</w:t>
      </w:r>
    </w:p>
    <w:p w:rsidR="00811EFD" w:rsidRDefault="00811EFD"/>
    <w:p w:rsidR="00811EFD" w:rsidRDefault="00811EFD"/>
    <w:p w:rsidR="00332728" w:rsidRDefault="00811EFD">
      <w:r>
        <w:rPr>
          <w:noProof/>
        </w:rPr>
        <w:drawing>
          <wp:inline distT="0" distB="0" distL="0" distR="0">
            <wp:extent cx="5743575" cy="29432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32728" w:rsidRDefault="00332728"/>
    <w:p w:rsidR="00332728" w:rsidRPr="003D1522" w:rsidRDefault="0010061D" w:rsidP="003D1522">
      <w:pPr>
        <w:jc w:val="center"/>
        <w:rPr>
          <w:b/>
          <w:sz w:val="24"/>
        </w:rPr>
      </w:pPr>
      <w:r w:rsidRPr="0010061D">
        <w:rPr>
          <w:b/>
          <w:sz w:val="24"/>
        </w:rPr>
        <w:t>Graph 1</w:t>
      </w:r>
      <w:r>
        <w:rPr>
          <w:b/>
          <w:sz w:val="24"/>
        </w:rPr>
        <w:t>3</w:t>
      </w:r>
    </w:p>
    <w:p w:rsidR="00332728" w:rsidRDefault="00332728">
      <w:r>
        <w:rPr>
          <w:noProof/>
        </w:rPr>
        <w:lastRenderedPageBreak/>
        <w:drawing>
          <wp:inline distT="0" distB="0" distL="0" distR="0">
            <wp:extent cx="5743575" cy="346710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32728" w:rsidRDefault="00332728"/>
    <w:p w:rsidR="003D1522" w:rsidRPr="0010061D" w:rsidRDefault="003D1522" w:rsidP="003D1522">
      <w:pPr>
        <w:jc w:val="center"/>
        <w:rPr>
          <w:b/>
          <w:sz w:val="24"/>
        </w:rPr>
      </w:pPr>
      <w:r w:rsidRPr="0010061D">
        <w:rPr>
          <w:b/>
          <w:sz w:val="24"/>
        </w:rPr>
        <w:t>Graph 1</w:t>
      </w:r>
      <w:r>
        <w:rPr>
          <w:b/>
          <w:sz w:val="24"/>
        </w:rPr>
        <w:t>4</w:t>
      </w:r>
    </w:p>
    <w:p w:rsidR="00332728" w:rsidRDefault="00332728"/>
    <w:p w:rsidR="00332728" w:rsidRDefault="00332728">
      <w:r>
        <w:rPr>
          <w:noProof/>
        </w:rPr>
        <w:drawing>
          <wp:inline distT="0" distB="0" distL="0" distR="0">
            <wp:extent cx="5743575" cy="343852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D1522" w:rsidRPr="0010061D" w:rsidRDefault="003D1522" w:rsidP="003D1522">
      <w:pPr>
        <w:jc w:val="center"/>
        <w:rPr>
          <w:b/>
          <w:sz w:val="24"/>
        </w:rPr>
      </w:pPr>
      <w:r w:rsidRPr="0010061D">
        <w:rPr>
          <w:b/>
          <w:sz w:val="24"/>
        </w:rPr>
        <w:t>Graph 1</w:t>
      </w:r>
      <w:r>
        <w:rPr>
          <w:b/>
          <w:sz w:val="24"/>
        </w:rPr>
        <w:t>5</w:t>
      </w:r>
    </w:p>
    <w:p w:rsidR="00332728" w:rsidRDefault="00332728"/>
    <w:p w:rsidR="009838E9" w:rsidRDefault="009838E9">
      <w:r>
        <w:rPr>
          <w:noProof/>
        </w:rPr>
        <w:lastRenderedPageBreak/>
        <w:drawing>
          <wp:inline distT="0" distB="0" distL="0" distR="0">
            <wp:extent cx="5747657" cy="2903974"/>
            <wp:effectExtent l="0" t="0" r="24765"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1522" w:rsidRPr="0010061D" w:rsidRDefault="003D1522" w:rsidP="003D1522">
      <w:pPr>
        <w:jc w:val="center"/>
        <w:rPr>
          <w:b/>
          <w:sz w:val="24"/>
        </w:rPr>
      </w:pPr>
      <w:r w:rsidRPr="0010061D">
        <w:rPr>
          <w:b/>
          <w:sz w:val="24"/>
        </w:rPr>
        <w:t>Graph 1</w:t>
      </w:r>
      <w:r>
        <w:rPr>
          <w:b/>
          <w:sz w:val="24"/>
        </w:rPr>
        <w:t>6</w:t>
      </w:r>
    </w:p>
    <w:p w:rsidR="009838E9" w:rsidRDefault="009838E9"/>
    <w:p w:rsidR="009838E9" w:rsidRDefault="009838E9"/>
    <w:p w:rsidR="00332728" w:rsidRDefault="009838E9">
      <w:r>
        <w:rPr>
          <w:noProof/>
        </w:rPr>
        <w:drawing>
          <wp:inline distT="0" distB="0" distL="0" distR="0">
            <wp:extent cx="5747657" cy="3215472"/>
            <wp:effectExtent l="0" t="0" r="24765" b="2349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838E9" w:rsidRDefault="009838E9"/>
    <w:p w:rsidR="003D1522" w:rsidRPr="0010061D" w:rsidRDefault="003D1522" w:rsidP="003D1522">
      <w:pPr>
        <w:jc w:val="center"/>
        <w:rPr>
          <w:b/>
          <w:sz w:val="24"/>
        </w:rPr>
      </w:pPr>
      <w:r w:rsidRPr="0010061D">
        <w:rPr>
          <w:b/>
          <w:sz w:val="24"/>
        </w:rPr>
        <w:t>Graph 1</w:t>
      </w:r>
      <w:r>
        <w:rPr>
          <w:b/>
          <w:sz w:val="24"/>
        </w:rPr>
        <w:t>7</w:t>
      </w:r>
    </w:p>
    <w:p w:rsidR="009838E9" w:rsidRDefault="009838E9"/>
    <w:p w:rsidR="009838E9" w:rsidRDefault="009838E9"/>
    <w:p w:rsidR="009838E9" w:rsidRDefault="009838E9">
      <w:r>
        <w:rPr>
          <w:noProof/>
        </w:rPr>
        <w:lastRenderedPageBreak/>
        <w:drawing>
          <wp:inline distT="0" distB="0" distL="0" distR="0">
            <wp:extent cx="5743575" cy="29432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838E9" w:rsidRDefault="009838E9"/>
    <w:p w:rsidR="003D1522" w:rsidRPr="0010061D" w:rsidRDefault="003D1522" w:rsidP="003D1522">
      <w:pPr>
        <w:jc w:val="center"/>
        <w:rPr>
          <w:b/>
          <w:sz w:val="24"/>
        </w:rPr>
      </w:pPr>
      <w:r w:rsidRPr="0010061D">
        <w:rPr>
          <w:b/>
          <w:sz w:val="24"/>
        </w:rPr>
        <w:t>Graph 1</w:t>
      </w:r>
      <w:r>
        <w:rPr>
          <w:b/>
          <w:sz w:val="24"/>
        </w:rPr>
        <w:t>8</w:t>
      </w:r>
    </w:p>
    <w:p w:rsidR="009838E9" w:rsidRDefault="009838E9"/>
    <w:p w:rsidR="009838E9" w:rsidRDefault="009838E9"/>
    <w:p w:rsidR="009838E9" w:rsidRDefault="009838E9">
      <w:r>
        <w:rPr>
          <w:noProof/>
        </w:rPr>
        <w:drawing>
          <wp:inline distT="0" distB="0" distL="0" distR="0">
            <wp:extent cx="5743575" cy="29432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D1522" w:rsidRPr="0010061D" w:rsidRDefault="003D1522" w:rsidP="003D1522">
      <w:pPr>
        <w:jc w:val="center"/>
        <w:rPr>
          <w:b/>
          <w:sz w:val="24"/>
        </w:rPr>
      </w:pPr>
      <w:r w:rsidRPr="0010061D">
        <w:rPr>
          <w:b/>
          <w:sz w:val="24"/>
        </w:rPr>
        <w:t>Graph 1</w:t>
      </w:r>
      <w:r>
        <w:rPr>
          <w:b/>
          <w:sz w:val="24"/>
        </w:rPr>
        <w:t>9</w:t>
      </w:r>
    </w:p>
    <w:p w:rsidR="009838E9" w:rsidRDefault="009838E9"/>
    <w:p w:rsidR="009838E9" w:rsidRDefault="009838E9"/>
    <w:p w:rsidR="009838E9" w:rsidRDefault="009838E9"/>
    <w:p w:rsidR="009838E9" w:rsidRDefault="009838E9"/>
    <w:p w:rsidR="009838E9" w:rsidRDefault="009838E9"/>
    <w:p w:rsidR="009838E9" w:rsidRDefault="009838E9">
      <w:r>
        <w:rPr>
          <w:noProof/>
        </w:rPr>
        <w:drawing>
          <wp:inline distT="0" distB="0" distL="0" distR="0">
            <wp:extent cx="5743575" cy="294322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D1522" w:rsidRPr="0010061D" w:rsidRDefault="003D1522" w:rsidP="003D1522">
      <w:pPr>
        <w:jc w:val="center"/>
        <w:rPr>
          <w:b/>
          <w:sz w:val="24"/>
        </w:rPr>
      </w:pPr>
      <w:r w:rsidRPr="0010061D">
        <w:rPr>
          <w:b/>
          <w:sz w:val="24"/>
        </w:rPr>
        <w:t xml:space="preserve">Graph </w:t>
      </w:r>
      <w:r>
        <w:rPr>
          <w:b/>
          <w:sz w:val="24"/>
        </w:rPr>
        <w:t>20</w:t>
      </w:r>
    </w:p>
    <w:p w:rsidR="009838E9" w:rsidRDefault="009838E9"/>
    <w:p w:rsidR="009838E9" w:rsidRDefault="009838E9"/>
    <w:p w:rsidR="009838E9" w:rsidRDefault="009838E9"/>
    <w:p w:rsidR="009838E9" w:rsidRDefault="009838E9">
      <w:r>
        <w:rPr>
          <w:noProof/>
        </w:rPr>
        <w:drawing>
          <wp:inline distT="0" distB="0" distL="0" distR="0">
            <wp:extent cx="5743575" cy="29432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D1522" w:rsidRPr="0010061D" w:rsidRDefault="003D1522" w:rsidP="003D1522">
      <w:pPr>
        <w:jc w:val="center"/>
        <w:rPr>
          <w:b/>
          <w:sz w:val="24"/>
        </w:rPr>
      </w:pPr>
      <w:r w:rsidRPr="0010061D">
        <w:rPr>
          <w:b/>
          <w:sz w:val="24"/>
        </w:rPr>
        <w:t xml:space="preserve">Graph </w:t>
      </w:r>
      <w:r>
        <w:rPr>
          <w:b/>
          <w:sz w:val="24"/>
        </w:rPr>
        <w:t>21</w:t>
      </w:r>
    </w:p>
    <w:p w:rsidR="009838E9" w:rsidRDefault="009838E9"/>
    <w:p w:rsidR="009838E9" w:rsidRDefault="009838E9"/>
    <w:p w:rsidR="009838E9" w:rsidRDefault="009838E9">
      <w:r>
        <w:rPr>
          <w:noProof/>
        </w:rPr>
        <w:drawing>
          <wp:inline distT="0" distB="0" distL="0" distR="0">
            <wp:extent cx="5743575" cy="294322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471C0" w:rsidRDefault="00C471C0"/>
    <w:p w:rsidR="003D1522" w:rsidRPr="0010061D" w:rsidRDefault="003D1522" w:rsidP="003D1522">
      <w:pPr>
        <w:jc w:val="center"/>
        <w:rPr>
          <w:b/>
          <w:sz w:val="24"/>
        </w:rPr>
      </w:pPr>
      <w:r w:rsidRPr="0010061D">
        <w:rPr>
          <w:b/>
          <w:sz w:val="24"/>
        </w:rPr>
        <w:t xml:space="preserve">Graph </w:t>
      </w:r>
      <w:r>
        <w:rPr>
          <w:b/>
          <w:sz w:val="24"/>
        </w:rPr>
        <w:t>2</w:t>
      </w:r>
      <w:r>
        <w:rPr>
          <w:b/>
          <w:sz w:val="24"/>
        </w:rPr>
        <w:t>2</w:t>
      </w:r>
    </w:p>
    <w:p w:rsidR="00C471C0" w:rsidRDefault="00C471C0"/>
    <w:p w:rsidR="00C471C0" w:rsidRDefault="00C471C0"/>
    <w:p w:rsidR="00811EFD" w:rsidRDefault="00811EFD">
      <w:r>
        <w:rPr>
          <w:noProof/>
        </w:rPr>
        <w:drawing>
          <wp:inline distT="0" distB="0" distL="0" distR="0">
            <wp:extent cx="5743575" cy="294322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11EFD" w:rsidRDefault="00811EFD"/>
    <w:p w:rsidR="003D1522" w:rsidRPr="0010061D" w:rsidRDefault="003D1522" w:rsidP="003D1522">
      <w:pPr>
        <w:jc w:val="center"/>
        <w:rPr>
          <w:b/>
          <w:sz w:val="24"/>
        </w:rPr>
      </w:pPr>
      <w:r w:rsidRPr="0010061D">
        <w:rPr>
          <w:b/>
          <w:sz w:val="24"/>
        </w:rPr>
        <w:t xml:space="preserve">Graph </w:t>
      </w:r>
      <w:r>
        <w:rPr>
          <w:b/>
          <w:sz w:val="24"/>
        </w:rPr>
        <w:t>23</w:t>
      </w:r>
    </w:p>
    <w:p w:rsidR="00811EFD" w:rsidRDefault="00811EFD"/>
    <w:p w:rsidR="00811EFD" w:rsidRDefault="00811EFD"/>
    <w:p w:rsidR="00811EFD" w:rsidRDefault="00811EFD"/>
    <w:p w:rsidR="00C471C0" w:rsidRDefault="00811EFD">
      <w:r>
        <w:rPr>
          <w:noProof/>
        </w:rPr>
        <w:drawing>
          <wp:inline distT="0" distB="0" distL="0" distR="0">
            <wp:extent cx="5743575" cy="2943225"/>
            <wp:effectExtent l="0" t="0" r="9525"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471C0" w:rsidRDefault="00C471C0"/>
    <w:p w:rsidR="003D1522" w:rsidRPr="0010061D" w:rsidRDefault="003D1522" w:rsidP="003D1522">
      <w:pPr>
        <w:jc w:val="center"/>
        <w:rPr>
          <w:b/>
          <w:sz w:val="24"/>
        </w:rPr>
      </w:pPr>
      <w:r w:rsidRPr="0010061D">
        <w:rPr>
          <w:b/>
          <w:sz w:val="24"/>
        </w:rPr>
        <w:t xml:space="preserve">Graph </w:t>
      </w:r>
      <w:r>
        <w:rPr>
          <w:b/>
          <w:sz w:val="24"/>
        </w:rPr>
        <w:t>24</w:t>
      </w:r>
    </w:p>
    <w:p w:rsidR="00C471C0" w:rsidRDefault="00C471C0"/>
    <w:p w:rsidR="00811EFD" w:rsidRDefault="00811EFD">
      <w:r>
        <w:rPr>
          <w:noProof/>
        </w:rPr>
        <w:drawing>
          <wp:inline distT="0" distB="0" distL="0" distR="0">
            <wp:extent cx="5743575" cy="2943225"/>
            <wp:effectExtent l="0" t="0" r="9525"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D1522" w:rsidRPr="0010061D" w:rsidRDefault="003D1522" w:rsidP="003D1522">
      <w:pPr>
        <w:jc w:val="center"/>
        <w:rPr>
          <w:b/>
          <w:sz w:val="24"/>
        </w:rPr>
      </w:pPr>
      <w:r w:rsidRPr="0010061D">
        <w:rPr>
          <w:b/>
          <w:sz w:val="24"/>
        </w:rPr>
        <w:t xml:space="preserve">Graph </w:t>
      </w:r>
      <w:r>
        <w:rPr>
          <w:b/>
          <w:sz w:val="24"/>
        </w:rPr>
        <w:t>2</w:t>
      </w:r>
      <w:r>
        <w:rPr>
          <w:b/>
          <w:sz w:val="24"/>
        </w:rPr>
        <w:t>5</w:t>
      </w:r>
    </w:p>
    <w:p w:rsidR="00811EFD" w:rsidRDefault="00811EFD"/>
    <w:p w:rsidR="00811EFD" w:rsidRDefault="00811EFD"/>
    <w:p w:rsidR="00C471C0" w:rsidRDefault="00811EFD">
      <w:r>
        <w:rPr>
          <w:noProof/>
        </w:rPr>
        <w:lastRenderedPageBreak/>
        <w:drawing>
          <wp:inline distT="0" distB="0" distL="0" distR="0">
            <wp:extent cx="5743575" cy="2943225"/>
            <wp:effectExtent l="0" t="0" r="9525"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D1522" w:rsidRPr="0010061D" w:rsidRDefault="003D1522" w:rsidP="003D1522">
      <w:pPr>
        <w:jc w:val="center"/>
        <w:rPr>
          <w:b/>
          <w:sz w:val="24"/>
        </w:rPr>
      </w:pPr>
      <w:r w:rsidRPr="0010061D">
        <w:rPr>
          <w:b/>
          <w:sz w:val="24"/>
        </w:rPr>
        <w:t xml:space="preserve">Graph </w:t>
      </w:r>
      <w:r>
        <w:rPr>
          <w:b/>
          <w:sz w:val="24"/>
        </w:rPr>
        <w:t>2</w:t>
      </w:r>
      <w:r>
        <w:rPr>
          <w:b/>
          <w:sz w:val="24"/>
        </w:rPr>
        <w:t>6</w:t>
      </w:r>
    </w:p>
    <w:p w:rsidR="00C471C0" w:rsidRDefault="00C471C0"/>
    <w:p w:rsidR="00C471C0" w:rsidRDefault="00C471C0"/>
    <w:p w:rsidR="00811EFD" w:rsidRDefault="00811EFD">
      <w:r>
        <w:rPr>
          <w:noProof/>
        </w:rPr>
        <w:drawing>
          <wp:inline distT="0" distB="0" distL="0" distR="0">
            <wp:extent cx="5743575" cy="2943225"/>
            <wp:effectExtent l="0" t="0" r="9525"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471C0" w:rsidRDefault="00C471C0"/>
    <w:p w:rsidR="003D1522" w:rsidRPr="0010061D" w:rsidRDefault="003D1522" w:rsidP="003D1522">
      <w:pPr>
        <w:jc w:val="center"/>
        <w:rPr>
          <w:b/>
          <w:sz w:val="24"/>
        </w:rPr>
      </w:pPr>
      <w:r w:rsidRPr="0010061D">
        <w:rPr>
          <w:b/>
          <w:sz w:val="24"/>
        </w:rPr>
        <w:t xml:space="preserve">Graph </w:t>
      </w:r>
      <w:r>
        <w:rPr>
          <w:b/>
          <w:sz w:val="24"/>
        </w:rPr>
        <w:t>2</w:t>
      </w:r>
      <w:r>
        <w:rPr>
          <w:b/>
          <w:sz w:val="24"/>
        </w:rPr>
        <w:t>7</w:t>
      </w:r>
    </w:p>
    <w:p w:rsidR="00C471C0" w:rsidRDefault="00C471C0"/>
    <w:p w:rsidR="00C471C0" w:rsidRDefault="00C471C0"/>
    <w:sectPr w:rsidR="00C471C0" w:rsidSect="004B790D">
      <w:headerReference w:type="default" r:id="rId36"/>
      <w:footerReference w:type="default" r:id="rId37"/>
      <w:pgSz w:w="11907" w:h="16839" w:code="9"/>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D6" w:rsidRDefault="00A345D6" w:rsidP="00F05F16">
      <w:pPr>
        <w:spacing w:after="0" w:line="240" w:lineRule="auto"/>
      </w:pPr>
      <w:r>
        <w:separator/>
      </w:r>
    </w:p>
  </w:endnote>
  <w:endnote w:type="continuationSeparator" w:id="0">
    <w:p w:rsidR="00A345D6" w:rsidRDefault="00A345D6" w:rsidP="00F0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440408"/>
      <w:docPartObj>
        <w:docPartGallery w:val="Page Numbers (Bottom of Page)"/>
        <w:docPartUnique/>
      </w:docPartObj>
    </w:sdtPr>
    <w:sdtEndPr/>
    <w:sdtContent>
      <w:sdt>
        <w:sdtPr>
          <w:id w:val="860082579"/>
          <w:docPartObj>
            <w:docPartGallery w:val="Page Numbers (Top of Page)"/>
            <w:docPartUnique/>
          </w:docPartObj>
        </w:sdtPr>
        <w:sdtEndPr/>
        <w:sdtContent>
          <w:p w:rsidR="001317DD" w:rsidRDefault="001317DD">
            <w:pPr>
              <w:pStyle w:val="Footer"/>
              <w:jc w:val="right"/>
            </w:pPr>
            <w:r>
              <w:t xml:space="preserve">Page </w:t>
            </w:r>
            <w:r w:rsidR="00C70CCF">
              <w:rPr>
                <w:b/>
                <w:bCs/>
                <w:sz w:val="24"/>
                <w:szCs w:val="24"/>
              </w:rPr>
              <w:fldChar w:fldCharType="begin"/>
            </w:r>
            <w:r>
              <w:rPr>
                <w:b/>
                <w:bCs/>
              </w:rPr>
              <w:instrText xml:space="preserve"> PAGE </w:instrText>
            </w:r>
            <w:r w:rsidR="00C70CCF">
              <w:rPr>
                <w:b/>
                <w:bCs/>
                <w:sz w:val="24"/>
                <w:szCs w:val="24"/>
              </w:rPr>
              <w:fldChar w:fldCharType="separate"/>
            </w:r>
            <w:r w:rsidR="00DE7E92">
              <w:rPr>
                <w:b/>
                <w:bCs/>
                <w:noProof/>
              </w:rPr>
              <w:t>19</w:t>
            </w:r>
            <w:r w:rsidR="00C70CCF">
              <w:rPr>
                <w:b/>
                <w:bCs/>
                <w:sz w:val="24"/>
                <w:szCs w:val="24"/>
              </w:rPr>
              <w:fldChar w:fldCharType="end"/>
            </w:r>
            <w:r>
              <w:t xml:space="preserve"> of </w:t>
            </w:r>
            <w:r w:rsidR="00C70CCF">
              <w:rPr>
                <w:b/>
                <w:bCs/>
                <w:sz w:val="24"/>
                <w:szCs w:val="24"/>
              </w:rPr>
              <w:fldChar w:fldCharType="begin"/>
            </w:r>
            <w:r>
              <w:rPr>
                <w:b/>
                <w:bCs/>
              </w:rPr>
              <w:instrText xml:space="preserve"> NUMPAGES  </w:instrText>
            </w:r>
            <w:r w:rsidR="00C70CCF">
              <w:rPr>
                <w:b/>
                <w:bCs/>
                <w:sz w:val="24"/>
                <w:szCs w:val="24"/>
              </w:rPr>
              <w:fldChar w:fldCharType="separate"/>
            </w:r>
            <w:r w:rsidR="00DE7E92">
              <w:rPr>
                <w:b/>
                <w:bCs/>
                <w:noProof/>
              </w:rPr>
              <w:t>19</w:t>
            </w:r>
            <w:r w:rsidR="00C70CCF">
              <w:rPr>
                <w:b/>
                <w:bCs/>
                <w:sz w:val="24"/>
                <w:szCs w:val="24"/>
              </w:rPr>
              <w:fldChar w:fldCharType="end"/>
            </w:r>
          </w:p>
        </w:sdtContent>
      </w:sdt>
    </w:sdtContent>
  </w:sdt>
  <w:p w:rsidR="001317DD" w:rsidRDefault="00131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D6" w:rsidRDefault="00A345D6" w:rsidP="00F05F16">
      <w:pPr>
        <w:spacing w:after="0" w:line="240" w:lineRule="auto"/>
      </w:pPr>
      <w:r>
        <w:separator/>
      </w:r>
    </w:p>
  </w:footnote>
  <w:footnote w:type="continuationSeparator" w:id="0">
    <w:p w:rsidR="00A345D6" w:rsidRDefault="00A345D6" w:rsidP="00F05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DD" w:rsidRDefault="001317DD">
    <w:pPr>
      <w:pStyle w:val="Header"/>
    </w:pPr>
    <w:r>
      <w:t>NFHS IV – High Focus States</w:t>
    </w:r>
  </w:p>
  <w:p w:rsidR="001317DD" w:rsidRDefault="00131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3E43"/>
    <w:multiLevelType w:val="hybridMultilevel"/>
    <w:tmpl w:val="D7D0F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012FD"/>
    <w:multiLevelType w:val="hybridMultilevel"/>
    <w:tmpl w:val="E5CC3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A6383"/>
    <w:multiLevelType w:val="hybridMultilevel"/>
    <w:tmpl w:val="E5CC3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46659"/>
    <w:multiLevelType w:val="hybridMultilevel"/>
    <w:tmpl w:val="E5CC3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0D"/>
    <w:rsid w:val="00022533"/>
    <w:rsid w:val="000302D2"/>
    <w:rsid w:val="0008293C"/>
    <w:rsid w:val="00085D80"/>
    <w:rsid w:val="00093A82"/>
    <w:rsid w:val="00093B0C"/>
    <w:rsid w:val="000A3CAE"/>
    <w:rsid w:val="000B2815"/>
    <w:rsid w:val="000E01BC"/>
    <w:rsid w:val="0010061D"/>
    <w:rsid w:val="00102D48"/>
    <w:rsid w:val="00111ED5"/>
    <w:rsid w:val="001138CB"/>
    <w:rsid w:val="001317DD"/>
    <w:rsid w:val="0013509F"/>
    <w:rsid w:val="00146207"/>
    <w:rsid w:val="0019125D"/>
    <w:rsid w:val="001B14E7"/>
    <w:rsid w:val="001E2920"/>
    <w:rsid w:val="001E7742"/>
    <w:rsid w:val="001F20A8"/>
    <w:rsid w:val="00245044"/>
    <w:rsid w:val="00276FC4"/>
    <w:rsid w:val="002A5C62"/>
    <w:rsid w:val="002F448F"/>
    <w:rsid w:val="00332728"/>
    <w:rsid w:val="003464D2"/>
    <w:rsid w:val="00346E04"/>
    <w:rsid w:val="003670D0"/>
    <w:rsid w:val="003C650E"/>
    <w:rsid w:val="003D1522"/>
    <w:rsid w:val="004069BB"/>
    <w:rsid w:val="00417567"/>
    <w:rsid w:val="00446D3D"/>
    <w:rsid w:val="00453EDB"/>
    <w:rsid w:val="0049596E"/>
    <w:rsid w:val="004A605E"/>
    <w:rsid w:val="004B1EBF"/>
    <w:rsid w:val="004B790D"/>
    <w:rsid w:val="004F7812"/>
    <w:rsid w:val="00513CC0"/>
    <w:rsid w:val="005236E5"/>
    <w:rsid w:val="00571F4D"/>
    <w:rsid w:val="00573E8B"/>
    <w:rsid w:val="005A510F"/>
    <w:rsid w:val="005B393B"/>
    <w:rsid w:val="005B5CED"/>
    <w:rsid w:val="006058D0"/>
    <w:rsid w:val="00623689"/>
    <w:rsid w:val="006505B5"/>
    <w:rsid w:val="006541A4"/>
    <w:rsid w:val="00697716"/>
    <w:rsid w:val="006B36A2"/>
    <w:rsid w:val="006D36E3"/>
    <w:rsid w:val="006D4675"/>
    <w:rsid w:val="006E67E8"/>
    <w:rsid w:val="006F51EF"/>
    <w:rsid w:val="00726C09"/>
    <w:rsid w:val="00761EFB"/>
    <w:rsid w:val="00790C30"/>
    <w:rsid w:val="007A0160"/>
    <w:rsid w:val="007B082F"/>
    <w:rsid w:val="007B2B05"/>
    <w:rsid w:val="007C6D22"/>
    <w:rsid w:val="007D2960"/>
    <w:rsid w:val="007F7026"/>
    <w:rsid w:val="00807C11"/>
    <w:rsid w:val="00811EFD"/>
    <w:rsid w:val="00847AE2"/>
    <w:rsid w:val="00853EE3"/>
    <w:rsid w:val="008771AD"/>
    <w:rsid w:val="00882727"/>
    <w:rsid w:val="00883A8A"/>
    <w:rsid w:val="0094025E"/>
    <w:rsid w:val="009838E9"/>
    <w:rsid w:val="0098677B"/>
    <w:rsid w:val="009B26B8"/>
    <w:rsid w:val="009C2789"/>
    <w:rsid w:val="009C3199"/>
    <w:rsid w:val="009C364C"/>
    <w:rsid w:val="009D4A8C"/>
    <w:rsid w:val="00A061C7"/>
    <w:rsid w:val="00A345D6"/>
    <w:rsid w:val="00A66E22"/>
    <w:rsid w:val="00A91F39"/>
    <w:rsid w:val="00AA63DC"/>
    <w:rsid w:val="00AE5B8A"/>
    <w:rsid w:val="00B2271B"/>
    <w:rsid w:val="00B428E9"/>
    <w:rsid w:val="00B45EEB"/>
    <w:rsid w:val="00B524E1"/>
    <w:rsid w:val="00B539C8"/>
    <w:rsid w:val="00B94E47"/>
    <w:rsid w:val="00B95B28"/>
    <w:rsid w:val="00BD5B34"/>
    <w:rsid w:val="00BF7973"/>
    <w:rsid w:val="00C034E2"/>
    <w:rsid w:val="00C05499"/>
    <w:rsid w:val="00C1690C"/>
    <w:rsid w:val="00C471C0"/>
    <w:rsid w:val="00C70CCF"/>
    <w:rsid w:val="00CF2A91"/>
    <w:rsid w:val="00D05315"/>
    <w:rsid w:val="00D07A52"/>
    <w:rsid w:val="00D20A2C"/>
    <w:rsid w:val="00D256BE"/>
    <w:rsid w:val="00D41743"/>
    <w:rsid w:val="00D77EF2"/>
    <w:rsid w:val="00D83034"/>
    <w:rsid w:val="00DE2F29"/>
    <w:rsid w:val="00DE7E92"/>
    <w:rsid w:val="00E13660"/>
    <w:rsid w:val="00E21809"/>
    <w:rsid w:val="00E4403D"/>
    <w:rsid w:val="00E442FA"/>
    <w:rsid w:val="00E55591"/>
    <w:rsid w:val="00E60263"/>
    <w:rsid w:val="00E61306"/>
    <w:rsid w:val="00EA313A"/>
    <w:rsid w:val="00EA559B"/>
    <w:rsid w:val="00EF1C6C"/>
    <w:rsid w:val="00F05F16"/>
    <w:rsid w:val="00F32338"/>
    <w:rsid w:val="00F84B0B"/>
    <w:rsid w:val="00F86931"/>
    <w:rsid w:val="00FB63DD"/>
    <w:rsid w:val="00FB7D5C"/>
    <w:rsid w:val="00FE1F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90D"/>
    <w:rPr>
      <w:rFonts w:ascii="Tahoma" w:hAnsi="Tahoma" w:cs="Tahoma"/>
      <w:sz w:val="16"/>
      <w:szCs w:val="16"/>
    </w:rPr>
  </w:style>
  <w:style w:type="paragraph" w:styleId="NoSpacing">
    <w:name w:val="No Spacing"/>
    <w:link w:val="NoSpacingChar"/>
    <w:uiPriority w:val="1"/>
    <w:qFormat/>
    <w:rsid w:val="004B790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790D"/>
    <w:rPr>
      <w:rFonts w:eastAsiaTheme="minorEastAsia"/>
      <w:lang w:eastAsia="ja-JP"/>
    </w:rPr>
  </w:style>
  <w:style w:type="paragraph" w:styleId="ListParagraph">
    <w:name w:val="List Paragraph"/>
    <w:basedOn w:val="Normal"/>
    <w:uiPriority w:val="34"/>
    <w:qFormat/>
    <w:rsid w:val="00E60263"/>
    <w:pPr>
      <w:ind w:left="720"/>
      <w:contextualSpacing/>
    </w:pPr>
  </w:style>
  <w:style w:type="paragraph" w:styleId="Header">
    <w:name w:val="header"/>
    <w:basedOn w:val="Normal"/>
    <w:link w:val="HeaderChar"/>
    <w:uiPriority w:val="99"/>
    <w:unhideWhenUsed/>
    <w:rsid w:val="00F0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F16"/>
  </w:style>
  <w:style w:type="paragraph" w:styleId="Footer">
    <w:name w:val="footer"/>
    <w:basedOn w:val="Normal"/>
    <w:link w:val="FooterChar"/>
    <w:uiPriority w:val="99"/>
    <w:unhideWhenUsed/>
    <w:rsid w:val="00F0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90D"/>
    <w:rPr>
      <w:rFonts w:ascii="Tahoma" w:hAnsi="Tahoma" w:cs="Tahoma"/>
      <w:sz w:val="16"/>
      <w:szCs w:val="16"/>
    </w:rPr>
  </w:style>
  <w:style w:type="paragraph" w:styleId="NoSpacing">
    <w:name w:val="No Spacing"/>
    <w:link w:val="NoSpacingChar"/>
    <w:uiPriority w:val="1"/>
    <w:qFormat/>
    <w:rsid w:val="004B790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790D"/>
    <w:rPr>
      <w:rFonts w:eastAsiaTheme="minorEastAsia"/>
      <w:lang w:eastAsia="ja-JP"/>
    </w:rPr>
  </w:style>
  <w:style w:type="paragraph" w:styleId="ListParagraph">
    <w:name w:val="List Paragraph"/>
    <w:basedOn w:val="Normal"/>
    <w:uiPriority w:val="34"/>
    <w:qFormat/>
    <w:rsid w:val="00E60263"/>
    <w:pPr>
      <w:ind w:left="720"/>
      <w:contextualSpacing/>
    </w:pPr>
  </w:style>
  <w:style w:type="paragraph" w:styleId="Header">
    <w:name w:val="header"/>
    <w:basedOn w:val="Normal"/>
    <w:link w:val="HeaderChar"/>
    <w:uiPriority w:val="99"/>
    <w:unhideWhenUsed/>
    <w:rsid w:val="00F0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F16"/>
  </w:style>
  <w:style w:type="paragraph" w:styleId="Footer">
    <w:name w:val="footer"/>
    <w:basedOn w:val="Normal"/>
    <w:link w:val="FooterChar"/>
    <w:uiPriority w:val="99"/>
    <w:unhideWhenUsed/>
    <w:rsid w:val="00F0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7072">
      <w:bodyDiv w:val="1"/>
      <w:marLeft w:val="0"/>
      <w:marRight w:val="0"/>
      <w:marTop w:val="0"/>
      <w:marBottom w:val="0"/>
      <w:divBdr>
        <w:top w:val="none" w:sz="0" w:space="0" w:color="auto"/>
        <w:left w:val="none" w:sz="0" w:space="0" w:color="auto"/>
        <w:bottom w:val="none" w:sz="0" w:space="0" w:color="auto"/>
        <w:right w:val="none" w:sz="0" w:space="0" w:color="auto"/>
      </w:divBdr>
    </w:div>
    <w:div w:id="388118438">
      <w:bodyDiv w:val="1"/>
      <w:marLeft w:val="0"/>
      <w:marRight w:val="0"/>
      <w:marTop w:val="0"/>
      <w:marBottom w:val="0"/>
      <w:divBdr>
        <w:top w:val="none" w:sz="0" w:space="0" w:color="auto"/>
        <w:left w:val="none" w:sz="0" w:space="0" w:color="auto"/>
        <w:bottom w:val="none" w:sz="0" w:space="0" w:color="auto"/>
        <w:right w:val="none" w:sz="0" w:space="0" w:color="auto"/>
      </w:divBdr>
    </w:div>
    <w:div w:id="395058384">
      <w:bodyDiv w:val="1"/>
      <w:marLeft w:val="0"/>
      <w:marRight w:val="0"/>
      <w:marTop w:val="0"/>
      <w:marBottom w:val="0"/>
      <w:divBdr>
        <w:top w:val="none" w:sz="0" w:space="0" w:color="auto"/>
        <w:left w:val="none" w:sz="0" w:space="0" w:color="auto"/>
        <w:bottom w:val="none" w:sz="0" w:space="0" w:color="auto"/>
        <w:right w:val="none" w:sz="0" w:space="0" w:color="auto"/>
      </w:divBdr>
    </w:div>
    <w:div w:id="666447566">
      <w:bodyDiv w:val="1"/>
      <w:marLeft w:val="0"/>
      <w:marRight w:val="0"/>
      <w:marTop w:val="0"/>
      <w:marBottom w:val="0"/>
      <w:divBdr>
        <w:top w:val="none" w:sz="0" w:space="0" w:color="auto"/>
        <w:left w:val="none" w:sz="0" w:space="0" w:color="auto"/>
        <w:bottom w:val="none" w:sz="0" w:space="0" w:color="auto"/>
        <w:right w:val="none" w:sz="0" w:space="0" w:color="auto"/>
      </w:divBdr>
    </w:div>
    <w:div w:id="1271470449">
      <w:bodyDiv w:val="1"/>
      <w:marLeft w:val="0"/>
      <w:marRight w:val="0"/>
      <w:marTop w:val="0"/>
      <w:marBottom w:val="0"/>
      <w:divBdr>
        <w:top w:val="none" w:sz="0" w:space="0" w:color="auto"/>
        <w:left w:val="none" w:sz="0" w:space="0" w:color="auto"/>
        <w:bottom w:val="none" w:sz="0" w:space="0" w:color="auto"/>
        <w:right w:val="none" w:sz="0" w:space="0" w:color="auto"/>
      </w:divBdr>
    </w:div>
    <w:div w:id="1809978588">
      <w:bodyDiv w:val="1"/>
      <w:marLeft w:val="0"/>
      <w:marRight w:val="0"/>
      <w:marTop w:val="0"/>
      <w:marBottom w:val="0"/>
      <w:divBdr>
        <w:top w:val="none" w:sz="0" w:space="0" w:color="auto"/>
        <w:left w:val="none" w:sz="0" w:space="0" w:color="auto"/>
        <w:bottom w:val="none" w:sz="0" w:space="0" w:color="auto"/>
        <w:right w:val="none" w:sz="0" w:space="0" w:color="auto"/>
      </w:divBdr>
    </w:div>
    <w:div w:id="18147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ll%20Files%20-%2013.02.11\NFHS%20IV\NFHS%20IV%20comparison%20with%20NFHSII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layout>
        <c:manualLayout>
          <c:xMode val="edge"/>
          <c:yMode val="edge"/>
          <c:x val="9.5914561359524406E-2"/>
          <c:y val="2.2922636103151862E-2"/>
        </c:manualLayout>
      </c:layout>
      <c:overlay val="0"/>
      <c:txPr>
        <a:bodyPr/>
        <a:lstStyle/>
        <a:p>
          <a:pPr>
            <a:defRPr sz="1600"/>
          </a:pPr>
          <a:endParaRPr lang="en-US"/>
        </a:p>
      </c:txPr>
    </c:title>
    <c:autoTitleDeleted val="0"/>
    <c:plotArea>
      <c:layout/>
      <c:barChart>
        <c:barDir val="col"/>
        <c:grouping val="clustered"/>
        <c:varyColors val="0"/>
        <c:ser>
          <c:idx val="0"/>
          <c:order val="0"/>
          <c:tx>
            <c:strRef>
              <c:f>'Analysis HF States'!$N$3</c:f>
              <c:strCache>
                <c:ptCount val="1"/>
                <c:pt idx="0">
                  <c:v>Household with any usual member covered by health scheme or Health Insurance ( %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'Analysis HF States'!$O$1:$T$2</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'Analysis HF States'!$O$3:$T$3</c:f>
              <c:numCache>
                <c:formatCode>_(* #,##0.0_);_(* \(#,##0.0\);_(* "-"??_);_(@_)</c:formatCode>
                <c:ptCount val="6"/>
                <c:pt idx="0">
                  <c:v>12.3</c:v>
                </c:pt>
                <c:pt idx="1">
                  <c:v>0.9</c:v>
                </c:pt>
                <c:pt idx="2">
                  <c:v>17.7</c:v>
                </c:pt>
                <c:pt idx="3">
                  <c:v>4.8</c:v>
                </c:pt>
                <c:pt idx="4">
                  <c:v>19.5</c:v>
                </c:pt>
                <c:pt idx="5">
                  <c:v>6.6</c:v>
                </c:pt>
              </c:numCache>
            </c:numRef>
          </c:val>
        </c:ser>
        <c:dLbls>
          <c:showLegendKey val="0"/>
          <c:showVal val="0"/>
          <c:showCatName val="0"/>
          <c:showSerName val="0"/>
          <c:showPercent val="0"/>
          <c:showBubbleSize val="0"/>
        </c:dLbls>
        <c:gapWidth val="150"/>
        <c:axId val="295871616"/>
        <c:axId val="295873152"/>
      </c:barChart>
      <c:catAx>
        <c:axId val="295871616"/>
        <c:scaling>
          <c:orientation val="minMax"/>
        </c:scaling>
        <c:delete val="0"/>
        <c:axPos val="b"/>
        <c:majorTickMark val="out"/>
        <c:minorTickMark val="none"/>
        <c:tickLblPos val="nextTo"/>
        <c:txPr>
          <a:bodyPr/>
          <a:lstStyle/>
          <a:p>
            <a:pPr>
              <a:defRPr b="1"/>
            </a:pPr>
            <a:endParaRPr lang="en-US"/>
          </a:p>
        </c:txPr>
        <c:crossAx val="295873152"/>
        <c:crosses val="autoZero"/>
        <c:auto val="1"/>
        <c:lblAlgn val="ctr"/>
        <c:lblOffset val="100"/>
        <c:noMultiLvlLbl val="0"/>
      </c:catAx>
      <c:valAx>
        <c:axId val="295873152"/>
        <c:scaling>
          <c:orientation val="minMax"/>
        </c:scaling>
        <c:delete val="0"/>
        <c:axPos val="l"/>
        <c:numFmt formatCode="_(* #,##0.0_);_(* \(#,##0.0\);_(* &quot;-&quot;??_);_(@_)" sourceLinked="1"/>
        <c:majorTickMark val="out"/>
        <c:minorTickMark val="none"/>
        <c:tickLblPos val="nextTo"/>
        <c:crossAx val="29587161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Sheet4!$N$35</c:f>
              <c:strCache>
                <c:ptCount val="1"/>
                <c:pt idx="0">
                  <c:v> Institutional births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Sheet4!$O$33:$T$34</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Sheet4!$O$35:$T$35</c:f>
              <c:numCache>
                <c:formatCode>_(* #,##0.0_);_(* \(#,##0.0\);_(* "-"??_);_(@_)</c:formatCode>
                <c:ptCount val="6"/>
                <c:pt idx="0">
                  <c:v>63.8</c:v>
                </c:pt>
                <c:pt idx="1">
                  <c:v>19.899999999999999</c:v>
                </c:pt>
                <c:pt idx="2">
                  <c:v>80.8</c:v>
                </c:pt>
                <c:pt idx="3">
                  <c:v>26.2</c:v>
                </c:pt>
                <c:pt idx="4">
                  <c:v>68.599999999999994</c:v>
                </c:pt>
                <c:pt idx="5">
                  <c:v>32.6</c:v>
                </c:pt>
              </c:numCache>
            </c:numRef>
          </c:val>
        </c:ser>
        <c:dLbls>
          <c:showLegendKey val="0"/>
          <c:showVal val="0"/>
          <c:showCatName val="0"/>
          <c:showSerName val="0"/>
          <c:showPercent val="0"/>
          <c:showBubbleSize val="0"/>
        </c:dLbls>
        <c:gapWidth val="150"/>
        <c:axId val="192903808"/>
        <c:axId val="192909696"/>
      </c:barChart>
      <c:catAx>
        <c:axId val="192903808"/>
        <c:scaling>
          <c:orientation val="minMax"/>
        </c:scaling>
        <c:delete val="0"/>
        <c:axPos val="b"/>
        <c:majorTickMark val="out"/>
        <c:minorTickMark val="none"/>
        <c:tickLblPos val="nextTo"/>
        <c:txPr>
          <a:bodyPr/>
          <a:lstStyle/>
          <a:p>
            <a:pPr>
              <a:defRPr b="1"/>
            </a:pPr>
            <a:endParaRPr lang="en-US"/>
          </a:p>
        </c:txPr>
        <c:crossAx val="192909696"/>
        <c:crosses val="autoZero"/>
        <c:auto val="1"/>
        <c:lblAlgn val="ctr"/>
        <c:lblOffset val="100"/>
        <c:noMultiLvlLbl val="0"/>
      </c:catAx>
      <c:valAx>
        <c:axId val="192909696"/>
        <c:scaling>
          <c:orientation val="minMax"/>
        </c:scaling>
        <c:delete val="0"/>
        <c:axPos val="l"/>
        <c:numFmt formatCode="_(* #,##0.0_);_(* \(#,##0.0\);_(* &quot;-&quot;??_);_(@_)" sourceLinked="1"/>
        <c:majorTickMark val="out"/>
        <c:minorTickMark val="none"/>
        <c:tickLblPos val="nextTo"/>
        <c:crossAx val="19290380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'Analysis HF States'!$N$38</c:f>
              <c:strCache>
                <c:ptCount val="1"/>
                <c:pt idx="0">
                  <c:v> Institutional births in public facility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'Analysis HF States'!$O$36:$T$37</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'Analysis HF States'!$O$38:$T$38</c:f>
              <c:numCache>
                <c:formatCode>_(* #,##0.0_);_(* \(#,##0.0\);_(* "-"??_);_(@_)</c:formatCode>
                <c:ptCount val="6"/>
                <c:pt idx="0">
                  <c:v>47.7</c:v>
                </c:pt>
                <c:pt idx="1">
                  <c:v>3.5</c:v>
                </c:pt>
                <c:pt idx="2">
                  <c:v>69.5</c:v>
                </c:pt>
                <c:pt idx="3">
                  <c:v>18.399999999999999</c:v>
                </c:pt>
                <c:pt idx="4">
                  <c:v>43.8</c:v>
                </c:pt>
                <c:pt idx="5">
                  <c:v>15.7</c:v>
                </c:pt>
              </c:numCache>
            </c:numRef>
          </c:val>
        </c:ser>
        <c:dLbls>
          <c:showLegendKey val="0"/>
          <c:showVal val="0"/>
          <c:showCatName val="0"/>
          <c:showSerName val="0"/>
          <c:showPercent val="0"/>
          <c:showBubbleSize val="0"/>
        </c:dLbls>
        <c:gapWidth val="150"/>
        <c:axId val="192931328"/>
        <c:axId val="192932864"/>
      </c:barChart>
      <c:catAx>
        <c:axId val="192931328"/>
        <c:scaling>
          <c:orientation val="minMax"/>
        </c:scaling>
        <c:delete val="0"/>
        <c:axPos val="b"/>
        <c:majorTickMark val="out"/>
        <c:minorTickMark val="none"/>
        <c:tickLblPos val="nextTo"/>
        <c:txPr>
          <a:bodyPr/>
          <a:lstStyle/>
          <a:p>
            <a:pPr>
              <a:defRPr b="1"/>
            </a:pPr>
            <a:endParaRPr lang="en-US"/>
          </a:p>
        </c:txPr>
        <c:crossAx val="192932864"/>
        <c:crosses val="autoZero"/>
        <c:auto val="1"/>
        <c:lblAlgn val="ctr"/>
        <c:lblOffset val="100"/>
        <c:noMultiLvlLbl val="0"/>
      </c:catAx>
      <c:valAx>
        <c:axId val="192932864"/>
        <c:scaling>
          <c:orientation val="minMax"/>
        </c:scaling>
        <c:delete val="0"/>
        <c:axPos val="l"/>
        <c:numFmt formatCode="_(* #,##0.0_);_(* \(#,##0.0\);_(* &quot;-&quot;??_);_(@_)" sourceLinked="1"/>
        <c:majorTickMark val="out"/>
        <c:minorTickMark val="none"/>
        <c:tickLblPos val="nextTo"/>
        <c:crossAx val="19293132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Sheet4!$N$42</c:f>
              <c:strCache>
                <c:ptCount val="1"/>
                <c:pt idx="0">
                  <c:v> Births assisted by a doctor/nurse/LHV/ANM/other health personnel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Sheet4!$O$40:$T$41</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Sheet4!$O$42:$T$42</c:f>
              <c:numCache>
                <c:formatCode>_(* #,##0.0_);_(* \(#,##0.0\);_(* "-"??_);_(@_)</c:formatCode>
                <c:ptCount val="6"/>
                <c:pt idx="0">
                  <c:v>70</c:v>
                </c:pt>
                <c:pt idx="1">
                  <c:v>29.3</c:v>
                </c:pt>
                <c:pt idx="2">
                  <c:v>78.099999999999994</c:v>
                </c:pt>
                <c:pt idx="3">
                  <c:v>32.700000000000003</c:v>
                </c:pt>
                <c:pt idx="4">
                  <c:v>71.2</c:v>
                </c:pt>
                <c:pt idx="5">
                  <c:v>38.5</c:v>
                </c:pt>
              </c:numCache>
            </c:numRef>
          </c:val>
        </c:ser>
        <c:dLbls>
          <c:showLegendKey val="0"/>
          <c:showVal val="0"/>
          <c:showCatName val="0"/>
          <c:showSerName val="0"/>
          <c:showPercent val="0"/>
          <c:showBubbleSize val="0"/>
        </c:dLbls>
        <c:gapWidth val="150"/>
        <c:axId val="193343872"/>
        <c:axId val="193345408"/>
      </c:barChart>
      <c:catAx>
        <c:axId val="193343872"/>
        <c:scaling>
          <c:orientation val="minMax"/>
        </c:scaling>
        <c:delete val="0"/>
        <c:axPos val="b"/>
        <c:majorTickMark val="out"/>
        <c:minorTickMark val="none"/>
        <c:tickLblPos val="nextTo"/>
        <c:txPr>
          <a:bodyPr/>
          <a:lstStyle/>
          <a:p>
            <a:pPr>
              <a:defRPr b="1"/>
            </a:pPr>
            <a:endParaRPr lang="en-US"/>
          </a:p>
        </c:txPr>
        <c:crossAx val="193345408"/>
        <c:crosses val="autoZero"/>
        <c:auto val="1"/>
        <c:lblAlgn val="ctr"/>
        <c:lblOffset val="100"/>
        <c:noMultiLvlLbl val="0"/>
      </c:catAx>
      <c:valAx>
        <c:axId val="193345408"/>
        <c:scaling>
          <c:orientation val="minMax"/>
        </c:scaling>
        <c:delete val="0"/>
        <c:axPos val="l"/>
        <c:numFmt formatCode="_(* #,##0.0_);_(* \(#,##0.0\);_(* &quot;-&quot;??_);_(@_)" sourceLinked="1"/>
        <c:majorTickMark val="out"/>
        <c:minorTickMark val="none"/>
        <c:tickLblPos val="nextTo"/>
        <c:crossAx val="19334387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'Analysis HF States'!$N$45</c:f>
              <c:strCache>
                <c:ptCount val="1"/>
                <c:pt idx="0">
                  <c:v> Births delivered by caesarean section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'Analysis HF States'!$O$43:$T$44</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'Analysis HF States'!$O$45:$T$45</c:f>
              <c:numCache>
                <c:formatCode>_(* #,##0.0_);_(* \(#,##0.0\);_(* "-"??_);_(@_)</c:formatCode>
                <c:ptCount val="6"/>
                <c:pt idx="0">
                  <c:v>6.2</c:v>
                </c:pt>
                <c:pt idx="1">
                  <c:v>3.1</c:v>
                </c:pt>
                <c:pt idx="2">
                  <c:v>8.6</c:v>
                </c:pt>
                <c:pt idx="3">
                  <c:v>3.5</c:v>
                </c:pt>
                <c:pt idx="4">
                  <c:v>13.1</c:v>
                </c:pt>
                <c:pt idx="5">
                  <c:v>8.1</c:v>
                </c:pt>
              </c:numCache>
            </c:numRef>
          </c:val>
        </c:ser>
        <c:dLbls>
          <c:showLegendKey val="0"/>
          <c:showVal val="0"/>
          <c:showCatName val="0"/>
          <c:showSerName val="0"/>
          <c:showPercent val="0"/>
          <c:showBubbleSize val="0"/>
        </c:dLbls>
        <c:gapWidth val="150"/>
        <c:axId val="193358848"/>
        <c:axId val="193360640"/>
      </c:barChart>
      <c:catAx>
        <c:axId val="193358848"/>
        <c:scaling>
          <c:orientation val="minMax"/>
        </c:scaling>
        <c:delete val="0"/>
        <c:axPos val="b"/>
        <c:majorTickMark val="out"/>
        <c:minorTickMark val="none"/>
        <c:tickLblPos val="nextTo"/>
        <c:txPr>
          <a:bodyPr/>
          <a:lstStyle/>
          <a:p>
            <a:pPr>
              <a:defRPr b="1"/>
            </a:pPr>
            <a:endParaRPr lang="en-US"/>
          </a:p>
        </c:txPr>
        <c:crossAx val="193360640"/>
        <c:crosses val="autoZero"/>
        <c:auto val="1"/>
        <c:lblAlgn val="ctr"/>
        <c:lblOffset val="100"/>
        <c:noMultiLvlLbl val="0"/>
      </c:catAx>
      <c:valAx>
        <c:axId val="193360640"/>
        <c:scaling>
          <c:orientation val="minMax"/>
        </c:scaling>
        <c:delete val="0"/>
        <c:axPos val="l"/>
        <c:numFmt formatCode="_(* #,##0.0_);_(* \(#,##0.0\);_(* &quot;-&quot;??_);_(@_)" sourceLinked="1"/>
        <c:majorTickMark val="out"/>
        <c:minorTickMark val="none"/>
        <c:tickLblPos val="nextTo"/>
        <c:crossAx val="19335884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Sheet4!$N$48</c:f>
              <c:strCache>
                <c:ptCount val="1"/>
                <c:pt idx="0">
                  <c:v> Children age 12-23 months fully immunized (BCG, measles, and 3 doses each of polio and DPT)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Sheet4!$O$46:$T$47</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Sheet4!$O$48:$T$48</c:f>
              <c:numCache>
                <c:formatCode>_(* #,##0.0_);_(* \(#,##0.0\);_(* "-"??_);_(@_)</c:formatCode>
                <c:ptCount val="6"/>
                <c:pt idx="0">
                  <c:v>61.7</c:v>
                </c:pt>
                <c:pt idx="1">
                  <c:v>32.800000000000004</c:v>
                </c:pt>
                <c:pt idx="2">
                  <c:v>53.6</c:v>
                </c:pt>
                <c:pt idx="3">
                  <c:v>40.300000000000004</c:v>
                </c:pt>
                <c:pt idx="4">
                  <c:v>57.7</c:v>
                </c:pt>
                <c:pt idx="5">
                  <c:v>60</c:v>
                </c:pt>
              </c:numCache>
            </c:numRef>
          </c:val>
        </c:ser>
        <c:dLbls>
          <c:showLegendKey val="0"/>
          <c:showVal val="0"/>
          <c:showCatName val="0"/>
          <c:showSerName val="0"/>
          <c:showPercent val="0"/>
          <c:showBubbleSize val="0"/>
        </c:dLbls>
        <c:gapWidth val="150"/>
        <c:axId val="193382272"/>
        <c:axId val="193383808"/>
      </c:barChart>
      <c:catAx>
        <c:axId val="193382272"/>
        <c:scaling>
          <c:orientation val="minMax"/>
        </c:scaling>
        <c:delete val="0"/>
        <c:axPos val="b"/>
        <c:majorTickMark val="out"/>
        <c:minorTickMark val="none"/>
        <c:tickLblPos val="nextTo"/>
        <c:txPr>
          <a:bodyPr/>
          <a:lstStyle/>
          <a:p>
            <a:pPr>
              <a:defRPr b="1"/>
            </a:pPr>
            <a:endParaRPr lang="en-US"/>
          </a:p>
        </c:txPr>
        <c:crossAx val="193383808"/>
        <c:crosses val="autoZero"/>
        <c:auto val="1"/>
        <c:lblAlgn val="ctr"/>
        <c:lblOffset val="100"/>
        <c:noMultiLvlLbl val="0"/>
      </c:catAx>
      <c:valAx>
        <c:axId val="193383808"/>
        <c:scaling>
          <c:orientation val="minMax"/>
        </c:scaling>
        <c:delete val="0"/>
        <c:axPos val="l"/>
        <c:numFmt formatCode="_(* #,##0.0_);_(* \(#,##0.0\);_(* &quot;-&quot;??_);_(@_)" sourceLinked="1"/>
        <c:majorTickMark val="out"/>
        <c:minorTickMark val="none"/>
        <c:tickLblPos val="nextTo"/>
        <c:crossAx val="19338227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a:t> Children under age 3 years breastfed within one hour of birth (%)</a:t>
            </a:r>
          </a:p>
        </c:rich>
      </c:tx>
      <c:overlay val="0"/>
    </c:title>
    <c:autoTitleDeleted val="0"/>
    <c:plotArea>
      <c:layout/>
      <c:barChart>
        <c:barDir val="col"/>
        <c:grouping val="clustered"/>
        <c:varyColors val="0"/>
        <c:ser>
          <c:idx val="0"/>
          <c:order val="0"/>
          <c:tx>
            <c:strRef>
              <c:f>Sheet4!$N$57</c:f>
              <c:strCache>
                <c:ptCount val="1"/>
                <c:pt idx="0">
                  <c:v> Children under age 3 years breastfed within one hour of birth9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Sheet4!$O$55:$T$56</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Sheet4!$O$57:$T$57</c:f>
              <c:numCache>
                <c:formatCode>_(* #,##0.0_);_(* \(#,##0.0\);_(* "-"??_);_(@_)</c:formatCode>
                <c:ptCount val="6"/>
                <c:pt idx="0">
                  <c:v>34.9</c:v>
                </c:pt>
                <c:pt idx="1">
                  <c:v>4</c:v>
                </c:pt>
                <c:pt idx="2">
                  <c:v>34.5</c:v>
                </c:pt>
                <c:pt idx="3">
                  <c:v>14.9</c:v>
                </c:pt>
                <c:pt idx="4">
                  <c:v>27.8</c:v>
                </c:pt>
                <c:pt idx="5">
                  <c:v>32.9</c:v>
                </c:pt>
              </c:numCache>
            </c:numRef>
          </c:val>
        </c:ser>
        <c:dLbls>
          <c:showLegendKey val="0"/>
          <c:showVal val="0"/>
          <c:showCatName val="0"/>
          <c:showSerName val="0"/>
          <c:showPercent val="0"/>
          <c:showBubbleSize val="0"/>
        </c:dLbls>
        <c:gapWidth val="150"/>
        <c:axId val="193561344"/>
        <c:axId val="193562880"/>
      </c:barChart>
      <c:catAx>
        <c:axId val="193561344"/>
        <c:scaling>
          <c:orientation val="minMax"/>
        </c:scaling>
        <c:delete val="0"/>
        <c:axPos val="b"/>
        <c:majorTickMark val="out"/>
        <c:minorTickMark val="none"/>
        <c:tickLblPos val="nextTo"/>
        <c:txPr>
          <a:bodyPr/>
          <a:lstStyle/>
          <a:p>
            <a:pPr>
              <a:defRPr b="1"/>
            </a:pPr>
            <a:endParaRPr lang="en-US"/>
          </a:p>
        </c:txPr>
        <c:crossAx val="193562880"/>
        <c:crosses val="autoZero"/>
        <c:auto val="1"/>
        <c:lblAlgn val="ctr"/>
        <c:lblOffset val="100"/>
        <c:noMultiLvlLbl val="0"/>
      </c:catAx>
      <c:valAx>
        <c:axId val="193562880"/>
        <c:scaling>
          <c:orientation val="minMax"/>
        </c:scaling>
        <c:delete val="0"/>
        <c:axPos val="l"/>
        <c:numFmt formatCode="_(* #,##0.0_);_(* \(#,##0.0\);_(* &quot;-&quot;??_);_(@_)" sourceLinked="1"/>
        <c:majorTickMark val="out"/>
        <c:minorTickMark val="none"/>
        <c:tickLblPos val="nextTo"/>
        <c:crossAx val="19356134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a:t> Children under 5 years who are stunted (height-for-age)(-2S) (%)</a:t>
            </a:r>
          </a:p>
        </c:rich>
      </c:tx>
      <c:overlay val="0"/>
    </c:title>
    <c:autoTitleDeleted val="0"/>
    <c:plotArea>
      <c:layout/>
      <c:barChart>
        <c:barDir val="col"/>
        <c:grouping val="clustered"/>
        <c:varyColors val="0"/>
        <c:ser>
          <c:idx val="0"/>
          <c:order val="0"/>
          <c:tx>
            <c:strRef>
              <c:f>Sheet4!$N$60</c:f>
              <c:strCache>
                <c:ptCount val="1"/>
                <c:pt idx="0">
                  <c:v> Children under 5 years who are stunted (height-for-age)12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Sheet4!$O$58:$T$59</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Sheet4!$O$60:$T$60</c:f>
              <c:numCache>
                <c:formatCode>_(* #,##0.0_);_(* \(#,##0.0\);_(* "-"??_);_(@_)</c:formatCode>
                <c:ptCount val="6"/>
                <c:pt idx="0">
                  <c:v>48.3</c:v>
                </c:pt>
                <c:pt idx="1">
                  <c:v>55.6</c:v>
                </c:pt>
                <c:pt idx="2">
                  <c:v>42</c:v>
                </c:pt>
                <c:pt idx="3">
                  <c:v>50</c:v>
                </c:pt>
                <c:pt idx="4">
                  <c:v>33.5</c:v>
                </c:pt>
                <c:pt idx="5">
                  <c:v>44.4</c:v>
                </c:pt>
              </c:numCache>
            </c:numRef>
          </c:val>
        </c:ser>
        <c:dLbls>
          <c:showLegendKey val="0"/>
          <c:showVal val="0"/>
          <c:showCatName val="0"/>
          <c:showSerName val="0"/>
          <c:showPercent val="0"/>
          <c:showBubbleSize val="0"/>
        </c:dLbls>
        <c:gapWidth val="150"/>
        <c:axId val="193581440"/>
        <c:axId val="193582976"/>
      </c:barChart>
      <c:catAx>
        <c:axId val="193581440"/>
        <c:scaling>
          <c:orientation val="minMax"/>
        </c:scaling>
        <c:delete val="0"/>
        <c:axPos val="b"/>
        <c:majorTickMark val="out"/>
        <c:minorTickMark val="none"/>
        <c:tickLblPos val="nextTo"/>
        <c:txPr>
          <a:bodyPr/>
          <a:lstStyle/>
          <a:p>
            <a:pPr>
              <a:defRPr b="1"/>
            </a:pPr>
            <a:endParaRPr lang="en-US"/>
          </a:p>
        </c:txPr>
        <c:crossAx val="193582976"/>
        <c:crosses val="autoZero"/>
        <c:auto val="1"/>
        <c:lblAlgn val="ctr"/>
        <c:lblOffset val="100"/>
        <c:noMultiLvlLbl val="0"/>
      </c:catAx>
      <c:valAx>
        <c:axId val="193582976"/>
        <c:scaling>
          <c:orientation val="minMax"/>
        </c:scaling>
        <c:delete val="0"/>
        <c:axPos val="l"/>
        <c:numFmt formatCode="_(* #,##0.0_);_(* \(#,##0.0\);_(* &quot;-&quot;??_);_(@_)" sourceLinked="1"/>
        <c:majorTickMark val="out"/>
        <c:minorTickMark val="none"/>
        <c:tickLblPos val="nextTo"/>
        <c:crossAx val="19358144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a:t> </a:t>
            </a:r>
            <a:r>
              <a:rPr lang="en-US" sz="1200"/>
              <a:t>Children under 5 years who are wasted (weight-for-height)(-2S) (%)</a:t>
            </a:r>
          </a:p>
        </c:rich>
      </c:tx>
      <c:overlay val="0"/>
    </c:title>
    <c:autoTitleDeleted val="0"/>
    <c:plotArea>
      <c:layout/>
      <c:barChart>
        <c:barDir val="col"/>
        <c:grouping val="clustered"/>
        <c:varyColors val="0"/>
        <c:ser>
          <c:idx val="0"/>
          <c:order val="0"/>
          <c:tx>
            <c:strRef>
              <c:f>Sheet4!$N$63</c:f>
              <c:strCache>
                <c:ptCount val="1"/>
                <c:pt idx="0">
                  <c:v> Children under 5 years who are wasted (weight-for-height)12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Sheet4!$O$61:$T$62</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Sheet4!$O$63:$T$63</c:f>
              <c:numCache>
                <c:formatCode>_(* #,##0.0_);_(* \(#,##0.0\);_(* "-"??_);_(@_)</c:formatCode>
                <c:ptCount val="6"/>
                <c:pt idx="0">
                  <c:v>20.8</c:v>
                </c:pt>
                <c:pt idx="1">
                  <c:v>27.1</c:v>
                </c:pt>
                <c:pt idx="2">
                  <c:v>25.8</c:v>
                </c:pt>
                <c:pt idx="3">
                  <c:v>35</c:v>
                </c:pt>
                <c:pt idx="4">
                  <c:v>19.5</c:v>
                </c:pt>
                <c:pt idx="5">
                  <c:v>18.8</c:v>
                </c:pt>
              </c:numCache>
            </c:numRef>
          </c:val>
        </c:ser>
        <c:dLbls>
          <c:showLegendKey val="0"/>
          <c:showVal val="0"/>
          <c:showCatName val="0"/>
          <c:showSerName val="0"/>
          <c:showPercent val="0"/>
          <c:showBubbleSize val="0"/>
        </c:dLbls>
        <c:gapWidth val="150"/>
        <c:axId val="193795584"/>
        <c:axId val="193797120"/>
      </c:barChart>
      <c:catAx>
        <c:axId val="193795584"/>
        <c:scaling>
          <c:orientation val="minMax"/>
        </c:scaling>
        <c:delete val="0"/>
        <c:axPos val="b"/>
        <c:majorTickMark val="out"/>
        <c:minorTickMark val="none"/>
        <c:tickLblPos val="nextTo"/>
        <c:txPr>
          <a:bodyPr/>
          <a:lstStyle/>
          <a:p>
            <a:pPr>
              <a:defRPr b="1"/>
            </a:pPr>
            <a:endParaRPr lang="en-US"/>
          </a:p>
        </c:txPr>
        <c:crossAx val="193797120"/>
        <c:crosses val="autoZero"/>
        <c:auto val="1"/>
        <c:lblAlgn val="ctr"/>
        <c:lblOffset val="100"/>
        <c:noMultiLvlLbl val="0"/>
      </c:catAx>
      <c:valAx>
        <c:axId val="193797120"/>
        <c:scaling>
          <c:orientation val="minMax"/>
        </c:scaling>
        <c:delete val="0"/>
        <c:axPos val="l"/>
        <c:numFmt formatCode="_(* #,##0.0_);_(* \(#,##0.0\);_(* &quot;-&quot;??_);_(@_)" sourceLinked="1"/>
        <c:majorTickMark val="out"/>
        <c:minorTickMark val="none"/>
        <c:tickLblPos val="nextTo"/>
        <c:crossAx val="19379558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a:t> Children under 5 years who are severely wasted (weight-for-height)(- 3S) (%)</a:t>
            </a:r>
          </a:p>
        </c:rich>
      </c:tx>
      <c:overlay val="0"/>
    </c:title>
    <c:autoTitleDeleted val="0"/>
    <c:plotArea>
      <c:layout/>
      <c:barChart>
        <c:barDir val="col"/>
        <c:grouping val="clustered"/>
        <c:varyColors val="0"/>
        <c:ser>
          <c:idx val="0"/>
          <c:order val="0"/>
          <c:tx>
            <c:strRef>
              <c:f>Sheet4!$N$66</c:f>
              <c:strCache>
                <c:ptCount val="1"/>
                <c:pt idx="0">
                  <c:v> Children under 5 years who are severely wasted (weight-for-height)13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Sheet4!$O$64:$T$65</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Sheet4!$O$66:$T$66</c:f>
              <c:numCache>
                <c:formatCode>_(* #,##0.0_);_(* \(#,##0.0\);_(* "-"??_);_(@_)</c:formatCode>
                <c:ptCount val="6"/>
                <c:pt idx="0">
                  <c:v>7</c:v>
                </c:pt>
                <c:pt idx="1">
                  <c:v>8.3000000000000007</c:v>
                </c:pt>
                <c:pt idx="2">
                  <c:v>9.2000000000000011</c:v>
                </c:pt>
                <c:pt idx="3">
                  <c:v>12.6</c:v>
                </c:pt>
                <c:pt idx="4">
                  <c:v>9</c:v>
                </c:pt>
                <c:pt idx="5">
                  <c:v>5.3</c:v>
                </c:pt>
              </c:numCache>
            </c:numRef>
          </c:val>
        </c:ser>
        <c:dLbls>
          <c:showLegendKey val="0"/>
          <c:showVal val="0"/>
          <c:showCatName val="0"/>
          <c:showSerName val="0"/>
          <c:showPercent val="0"/>
          <c:showBubbleSize val="0"/>
        </c:dLbls>
        <c:gapWidth val="150"/>
        <c:axId val="193810816"/>
        <c:axId val="193812352"/>
      </c:barChart>
      <c:catAx>
        <c:axId val="193810816"/>
        <c:scaling>
          <c:orientation val="minMax"/>
        </c:scaling>
        <c:delete val="0"/>
        <c:axPos val="b"/>
        <c:majorTickMark val="out"/>
        <c:minorTickMark val="none"/>
        <c:tickLblPos val="nextTo"/>
        <c:txPr>
          <a:bodyPr/>
          <a:lstStyle/>
          <a:p>
            <a:pPr>
              <a:defRPr b="1"/>
            </a:pPr>
            <a:endParaRPr lang="en-US"/>
          </a:p>
        </c:txPr>
        <c:crossAx val="193812352"/>
        <c:crosses val="autoZero"/>
        <c:auto val="1"/>
        <c:lblAlgn val="ctr"/>
        <c:lblOffset val="100"/>
        <c:noMultiLvlLbl val="0"/>
      </c:catAx>
      <c:valAx>
        <c:axId val="193812352"/>
        <c:scaling>
          <c:orientation val="minMax"/>
        </c:scaling>
        <c:delete val="0"/>
        <c:axPos val="l"/>
        <c:numFmt formatCode="_(* #,##0.0_);_(* \(#,##0.0\);_(* &quot;-&quot;??_);_(@_)" sourceLinked="1"/>
        <c:majorTickMark val="out"/>
        <c:minorTickMark val="none"/>
        <c:tickLblPos val="nextTo"/>
        <c:crossAx val="193810816"/>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a:t> Children under 5 years who are underweight (weight-for-age)(-2S)</a:t>
            </a:r>
          </a:p>
          <a:p>
            <a:pPr>
              <a:defRPr sz="1400"/>
            </a:pPr>
            <a:r>
              <a:rPr lang="en-US"/>
              <a:t> (%)</a:t>
            </a:r>
          </a:p>
        </c:rich>
      </c:tx>
      <c:overlay val="0"/>
    </c:title>
    <c:autoTitleDeleted val="0"/>
    <c:plotArea>
      <c:layout/>
      <c:barChart>
        <c:barDir val="col"/>
        <c:grouping val="clustered"/>
        <c:varyColors val="0"/>
        <c:ser>
          <c:idx val="0"/>
          <c:order val="0"/>
          <c:tx>
            <c:strRef>
              <c:f>Sheet4!$N$69</c:f>
              <c:strCache>
                <c:ptCount val="1"/>
                <c:pt idx="0">
                  <c:v> Children under 5 years who are underweight (weight-for-age)12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Sheet4!$O$67:$T$68</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Sheet4!$O$69:$T$69</c:f>
              <c:numCache>
                <c:formatCode>_(* #,##0.0_);_(* \(#,##0.0\);_(* "-"??_);_(@_)</c:formatCode>
                <c:ptCount val="6"/>
                <c:pt idx="0">
                  <c:v>43.9</c:v>
                </c:pt>
                <c:pt idx="1">
                  <c:v>55.9</c:v>
                </c:pt>
                <c:pt idx="2">
                  <c:v>42.8</c:v>
                </c:pt>
                <c:pt idx="3">
                  <c:v>60</c:v>
                </c:pt>
                <c:pt idx="4">
                  <c:v>26.6</c:v>
                </c:pt>
                <c:pt idx="5">
                  <c:v>38</c:v>
                </c:pt>
              </c:numCache>
            </c:numRef>
          </c:val>
        </c:ser>
        <c:dLbls>
          <c:showLegendKey val="0"/>
          <c:showVal val="0"/>
          <c:showCatName val="0"/>
          <c:showSerName val="0"/>
          <c:showPercent val="0"/>
          <c:showBubbleSize val="0"/>
        </c:dLbls>
        <c:gapWidth val="150"/>
        <c:axId val="193842176"/>
        <c:axId val="193843968"/>
      </c:barChart>
      <c:catAx>
        <c:axId val="193842176"/>
        <c:scaling>
          <c:orientation val="minMax"/>
        </c:scaling>
        <c:delete val="0"/>
        <c:axPos val="b"/>
        <c:majorTickMark val="out"/>
        <c:minorTickMark val="none"/>
        <c:tickLblPos val="nextTo"/>
        <c:txPr>
          <a:bodyPr/>
          <a:lstStyle/>
          <a:p>
            <a:pPr>
              <a:defRPr b="1"/>
            </a:pPr>
            <a:endParaRPr lang="en-US"/>
          </a:p>
        </c:txPr>
        <c:crossAx val="193843968"/>
        <c:crosses val="autoZero"/>
        <c:auto val="1"/>
        <c:lblAlgn val="ctr"/>
        <c:lblOffset val="100"/>
        <c:noMultiLvlLbl val="0"/>
      </c:catAx>
      <c:valAx>
        <c:axId val="193843968"/>
        <c:scaling>
          <c:orientation val="minMax"/>
        </c:scaling>
        <c:delete val="0"/>
        <c:axPos val="l"/>
        <c:numFmt formatCode="_(* #,##0.0_);_(* \(#,##0.0\);_(* &quot;-&quot;??_);_(@_)" sourceLinked="1"/>
        <c:majorTickMark val="out"/>
        <c:minorTickMark val="none"/>
        <c:tickLblPos val="nextTo"/>
        <c:crossAx val="1938421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600"/>
          </a:pPr>
          <a:endParaRPr lang="en-US"/>
        </a:p>
      </c:txPr>
    </c:title>
    <c:autoTitleDeleted val="0"/>
    <c:plotArea>
      <c:layout/>
      <c:barChart>
        <c:barDir val="col"/>
        <c:grouping val="clustered"/>
        <c:varyColors val="0"/>
        <c:ser>
          <c:idx val="0"/>
          <c:order val="0"/>
          <c:tx>
            <c:strRef>
              <c:f>Sheet4!$N$6</c:f>
              <c:strCache>
                <c:ptCount val="1"/>
                <c:pt idx="0">
                  <c:v> Total fertility rate (children per woman)</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Sheet4!$O$4:$T$5</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Sheet4!$O$6:$T$6</c:f>
              <c:numCache>
                <c:formatCode>_(* #,##0.0_);_(* \(#,##0.0\);_(* "-"??_);_(@_)</c:formatCode>
                <c:ptCount val="6"/>
                <c:pt idx="0">
                  <c:v>3.4</c:v>
                </c:pt>
                <c:pt idx="1">
                  <c:v>4</c:v>
                </c:pt>
                <c:pt idx="2">
                  <c:v>2.2999999999999998</c:v>
                </c:pt>
                <c:pt idx="3">
                  <c:v>3.1</c:v>
                </c:pt>
                <c:pt idx="4">
                  <c:v>2.1</c:v>
                </c:pt>
                <c:pt idx="5">
                  <c:v>2.6</c:v>
                </c:pt>
              </c:numCache>
            </c:numRef>
          </c:val>
        </c:ser>
        <c:dLbls>
          <c:showLegendKey val="0"/>
          <c:showVal val="0"/>
          <c:showCatName val="0"/>
          <c:showSerName val="0"/>
          <c:showPercent val="0"/>
          <c:showBubbleSize val="0"/>
        </c:dLbls>
        <c:gapWidth val="150"/>
        <c:axId val="146310272"/>
        <c:axId val="146311808"/>
      </c:barChart>
      <c:catAx>
        <c:axId val="146310272"/>
        <c:scaling>
          <c:orientation val="minMax"/>
        </c:scaling>
        <c:delete val="0"/>
        <c:axPos val="b"/>
        <c:majorTickMark val="out"/>
        <c:minorTickMark val="none"/>
        <c:tickLblPos val="nextTo"/>
        <c:txPr>
          <a:bodyPr/>
          <a:lstStyle/>
          <a:p>
            <a:pPr>
              <a:defRPr b="1"/>
            </a:pPr>
            <a:endParaRPr lang="en-US"/>
          </a:p>
        </c:txPr>
        <c:crossAx val="146311808"/>
        <c:crosses val="autoZero"/>
        <c:auto val="1"/>
        <c:lblAlgn val="ctr"/>
        <c:lblOffset val="100"/>
        <c:noMultiLvlLbl val="0"/>
      </c:catAx>
      <c:valAx>
        <c:axId val="146311808"/>
        <c:scaling>
          <c:orientation val="minMax"/>
        </c:scaling>
        <c:delete val="0"/>
        <c:axPos val="l"/>
        <c:numFmt formatCode="_(* #,##0.0_);_(* \(#,##0.0\);_(* &quot;-&quot;??_);_(@_)" sourceLinked="1"/>
        <c:majorTickMark val="out"/>
        <c:minorTickMark val="none"/>
        <c:tickLblPos val="nextTo"/>
        <c:crossAx val="14631027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Sheet4!$N$72</c:f>
              <c:strCache>
                <c:ptCount val="1"/>
                <c:pt idx="0">
                  <c:v>Children age 6-59 months who are anaemic (&lt;11.0 g/dl) (%)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Sheet4!$O$70:$T$71</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Sheet4!$O$72:$T$72</c:f>
              <c:numCache>
                <c:formatCode>_(* #,##0.0_);_(* \(#,##0.0\);_(* "-"??_);_(@_)</c:formatCode>
                <c:ptCount val="6"/>
                <c:pt idx="0">
                  <c:v>63.5</c:v>
                </c:pt>
                <c:pt idx="1">
                  <c:v>78</c:v>
                </c:pt>
                <c:pt idx="2">
                  <c:v>68.900000000000006</c:v>
                </c:pt>
                <c:pt idx="3">
                  <c:v>74</c:v>
                </c:pt>
                <c:pt idx="4">
                  <c:v>59.8</c:v>
                </c:pt>
                <c:pt idx="5">
                  <c:v>60.7</c:v>
                </c:pt>
              </c:numCache>
            </c:numRef>
          </c:val>
        </c:ser>
        <c:dLbls>
          <c:showLegendKey val="0"/>
          <c:showVal val="0"/>
          <c:showCatName val="0"/>
          <c:showSerName val="0"/>
          <c:showPercent val="0"/>
          <c:showBubbleSize val="0"/>
        </c:dLbls>
        <c:gapWidth val="150"/>
        <c:axId val="248190848"/>
        <c:axId val="248192384"/>
      </c:barChart>
      <c:catAx>
        <c:axId val="248190848"/>
        <c:scaling>
          <c:orientation val="minMax"/>
        </c:scaling>
        <c:delete val="0"/>
        <c:axPos val="b"/>
        <c:majorTickMark val="out"/>
        <c:minorTickMark val="none"/>
        <c:tickLblPos val="nextTo"/>
        <c:txPr>
          <a:bodyPr/>
          <a:lstStyle/>
          <a:p>
            <a:pPr>
              <a:defRPr b="1"/>
            </a:pPr>
            <a:endParaRPr lang="en-US"/>
          </a:p>
        </c:txPr>
        <c:crossAx val="248192384"/>
        <c:crosses val="autoZero"/>
        <c:auto val="1"/>
        <c:lblAlgn val="ctr"/>
        <c:lblOffset val="100"/>
        <c:noMultiLvlLbl val="0"/>
      </c:catAx>
      <c:valAx>
        <c:axId val="248192384"/>
        <c:scaling>
          <c:orientation val="minMax"/>
        </c:scaling>
        <c:delete val="0"/>
        <c:axPos val="l"/>
        <c:numFmt formatCode="_(* #,##0.0_);_(* \(#,##0.0\);_(* &quot;-&quot;??_);_(@_)" sourceLinked="1"/>
        <c:majorTickMark val="out"/>
        <c:minorTickMark val="none"/>
        <c:tickLblPos val="nextTo"/>
        <c:crossAx val="24819084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Sheet4!$N$75</c:f>
              <c:strCache>
                <c:ptCount val="1"/>
                <c:pt idx="0">
                  <c:v>All women age 15-49 years who are anaemic (%)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Sheet4!$O$73:$T$74</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Sheet4!$O$75:$T$75</c:f>
              <c:numCache>
                <c:formatCode>_(* #,##0.0_);_(* \(#,##0.0\);_(* "-"??_);_(@_)</c:formatCode>
                <c:ptCount val="6"/>
                <c:pt idx="0">
                  <c:v>60.3</c:v>
                </c:pt>
                <c:pt idx="1">
                  <c:v>67.400000000000006</c:v>
                </c:pt>
                <c:pt idx="2">
                  <c:v>52.5</c:v>
                </c:pt>
                <c:pt idx="3">
                  <c:v>55.9</c:v>
                </c:pt>
                <c:pt idx="4">
                  <c:v>45.2</c:v>
                </c:pt>
                <c:pt idx="5">
                  <c:v>54.7</c:v>
                </c:pt>
              </c:numCache>
            </c:numRef>
          </c:val>
        </c:ser>
        <c:dLbls>
          <c:showLegendKey val="0"/>
          <c:showVal val="0"/>
          <c:showCatName val="0"/>
          <c:showSerName val="0"/>
          <c:showPercent val="0"/>
          <c:showBubbleSize val="0"/>
        </c:dLbls>
        <c:gapWidth val="150"/>
        <c:axId val="248238848"/>
        <c:axId val="248240384"/>
      </c:barChart>
      <c:catAx>
        <c:axId val="248238848"/>
        <c:scaling>
          <c:orientation val="minMax"/>
        </c:scaling>
        <c:delete val="0"/>
        <c:axPos val="b"/>
        <c:majorTickMark val="out"/>
        <c:minorTickMark val="none"/>
        <c:tickLblPos val="nextTo"/>
        <c:txPr>
          <a:bodyPr/>
          <a:lstStyle/>
          <a:p>
            <a:pPr>
              <a:defRPr b="1"/>
            </a:pPr>
            <a:endParaRPr lang="en-US"/>
          </a:p>
        </c:txPr>
        <c:crossAx val="248240384"/>
        <c:crosses val="autoZero"/>
        <c:auto val="1"/>
        <c:lblAlgn val="ctr"/>
        <c:lblOffset val="100"/>
        <c:noMultiLvlLbl val="0"/>
      </c:catAx>
      <c:valAx>
        <c:axId val="248240384"/>
        <c:scaling>
          <c:orientation val="minMax"/>
        </c:scaling>
        <c:delete val="0"/>
        <c:axPos val="l"/>
        <c:numFmt formatCode="_(* #,##0.0_);_(* \(#,##0.0\);_(* &quot;-&quot;??_);_(@_)" sourceLinked="1"/>
        <c:majorTickMark val="out"/>
        <c:minorTickMark val="none"/>
        <c:tickLblPos val="nextTo"/>
        <c:crossAx val="248238848"/>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Sheet4!$N$78</c:f>
              <c:strCache>
                <c:ptCount val="1"/>
                <c:pt idx="0">
                  <c:v>Men age 15-49 years who are anaemic (&lt;13.0 g/dl) (%)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Sheet4!$O$76:$T$77</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Sheet4!$O$78:$T$78</c:f>
              <c:numCache>
                <c:formatCode>_(* #,##0.0_);_(* \(#,##0.0\);_(* "-"??_);_(@_)</c:formatCode>
                <c:ptCount val="6"/>
                <c:pt idx="0">
                  <c:v>32.200000000000003</c:v>
                </c:pt>
                <c:pt idx="1">
                  <c:v>34.300000000000004</c:v>
                </c:pt>
                <c:pt idx="2">
                  <c:v>25.5</c:v>
                </c:pt>
                <c:pt idx="3">
                  <c:v>25.4</c:v>
                </c:pt>
                <c:pt idx="4">
                  <c:v>15.5</c:v>
                </c:pt>
                <c:pt idx="5">
                  <c:v>28.7</c:v>
                </c:pt>
              </c:numCache>
            </c:numRef>
          </c:val>
        </c:ser>
        <c:dLbls>
          <c:showLegendKey val="0"/>
          <c:showVal val="0"/>
          <c:showCatName val="0"/>
          <c:showSerName val="0"/>
          <c:showPercent val="0"/>
          <c:showBubbleSize val="0"/>
        </c:dLbls>
        <c:gapWidth val="150"/>
        <c:axId val="193338752"/>
        <c:axId val="250688640"/>
      </c:barChart>
      <c:catAx>
        <c:axId val="193338752"/>
        <c:scaling>
          <c:orientation val="minMax"/>
        </c:scaling>
        <c:delete val="0"/>
        <c:axPos val="b"/>
        <c:majorTickMark val="out"/>
        <c:minorTickMark val="none"/>
        <c:tickLblPos val="nextTo"/>
        <c:txPr>
          <a:bodyPr/>
          <a:lstStyle/>
          <a:p>
            <a:pPr>
              <a:defRPr b="1"/>
            </a:pPr>
            <a:endParaRPr lang="en-US"/>
          </a:p>
        </c:txPr>
        <c:crossAx val="250688640"/>
        <c:crosses val="autoZero"/>
        <c:auto val="1"/>
        <c:lblAlgn val="ctr"/>
        <c:lblOffset val="100"/>
        <c:noMultiLvlLbl val="0"/>
      </c:catAx>
      <c:valAx>
        <c:axId val="250688640"/>
        <c:scaling>
          <c:orientation val="minMax"/>
        </c:scaling>
        <c:delete val="0"/>
        <c:axPos val="l"/>
        <c:numFmt formatCode="_(* #,##0.0_);_(* \(#,##0.0\);_(* &quot;-&quot;??_);_(@_)" sourceLinked="1"/>
        <c:majorTickMark val="out"/>
        <c:minorTickMark val="none"/>
        <c:tickLblPos val="nextTo"/>
        <c:crossAx val="193338752"/>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'Analysis HF States'!$N$83</c:f>
              <c:strCache>
                <c:ptCount val="1"/>
                <c:pt idx="0">
                  <c:v>Blood Sugar Level among Adults (age 15-49 years) - Blood sugar level - high (&gt;140 mg/dl) (%)  - NFHS IV</c:v>
                </c:pt>
              </c:strCache>
            </c:strRef>
          </c:tx>
          <c:spPr>
            <a:solidFill>
              <a:srgbClr val="FF33CC"/>
            </a:solidFill>
          </c:spPr>
          <c:invertIfNegative val="0"/>
          <c:dPt>
            <c:idx val="1"/>
            <c:invertIfNegative val="0"/>
            <c:bubble3D val="0"/>
            <c:spPr>
              <a:solidFill>
                <a:schemeClr val="tx2">
                  <a:lumMod val="75000"/>
                </a:schemeClr>
              </a:solidFill>
            </c:spPr>
          </c:dPt>
          <c:dPt>
            <c:idx val="3"/>
            <c:invertIfNegative val="0"/>
            <c:bubble3D val="0"/>
            <c:spPr>
              <a:solidFill>
                <a:schemeClr val="tx2">
                  <a:lumMod val="75000"/>
                </a:schemeClr>
              </a:solidFill>
            </c:spPr>
          </c:dPt>
          <c:dPt>
            <c:idx val="5"/>
            <c:invertIfNegative val="0"/>
            <c:bubble3D val="0"/>
            <c:spPr>
              <a:solidFill>
                <a:schemeClr val="tx2">
                  <a:lumMod val="75000"/>
                </a:schemeClr>
              </a:solidFill>
            </c:spPr>
          </c:dPt>
          <c:dLbls>
            <c:txPr>
              <a:bodyPr/>
              <a:lstStyle/>
              <a:p>
                <a:pPr>
                  <a:defRPr b="1"/>
                </a:pPr>
                <a:endParaRPr lang="en-US"/>
              </a:p>
            </c:txPr>
            <c:showLegendKey val="0"/>
            <c:showVal val="1"/>
            <c:showCatName val="0"/>
            <c:showSerName val="0"/>
            <c:showPercent val="0"/>
            <c:showBubbleSize val="0"/>
            <c:showLeaderLines val="0"/>
          </c:dLbls>
          <c:cat>
            <c:multiLvlStrRef>
              <c:f>'Analysis HF States'!$O$81:$T$82</c:f>
              <c:multiLvlStrCache>
                <c:ptCount val="6"/>
                <c:lvl>
                  <c:pt idx="0">
                    <c:v>Women</c:v>
                  </c:pt>
                  <c:pt idx="1">
                    <c:v>Men</c:v>
                  </c:pt>
                  <c:pt idx="2">
                    <c:v>Women</c:v>
                  </c:pt>
                  <c:pt idx="3">
                    <c:v>Men</c:v>
                  </c:pt>
                  <c:pt idx="4">
                    <c:v>Women</c:v>
                  </c:pt>
                  <c:pt idx="5">
                    <c:v>Men</c:v>
                  </c:pt>
                </c:lvl>
                <c:lvl>
                  <c:pt idx="0">
                    <c:v>Bihar</c:v>
                  </c:pt>
                  <c:pt idx="2">
                    <c:v>Madhya Pradesh</c:v>
                  </c:pt>
                  <c:pt idx="4">
                    <c:v>Uttarakhand</c:v>
                  </c:pt>
                </c:lvl>
              </c:multiLvlStrCache>
            </c:multiLvlStrRef>
          </c:cat>
          <c:val>
            <c:numRef>
              <c:f>'Analysis HF States'!$O$83:$T$83</c:f>
              <c:numCache>
                <c:formatCode>_(* #,##0.0_);_(* \(#,##0.0\);_(* "-"??_);_(@_)</c:formatCode>
                <c:ptCount val="6"/>
                <c:pt idx="0">
                  <c:v>4.2</c:v>
                </c:pt>
                <c:pt idx="1">
                  <c:v>6.7</c:v>
                </c:pt>
                <c:pt idx="2">
                  <c:v>5.0999999999999996</c:v>
                </c:pt>
                <c:pt idx="3">
                  <c:v>6.7</c:v>
                </c:pt>
                <c:pt idx="4">
                  <c:v>6.1</c:v>
                </c:pt>
                <c:pt idx="5">
                  <c:v>8.8000000000000007</c:v>
                </c:pt>
              </c:numCache>
            </c:numRef>
          </c:val>
        </c:ser>
        <c:dLbls>
          <c:showLegendKey val="0"/>
          <c:showVal val="0"/>
          <c:showCatName val="0"/>
          <c:showSerName val="0"/>
          <c:showPercent val="0"/>
          <c:showBubbleSize val="0"/>
        </c:dLbls>
        <c:gapWidth val="150"/>
        <c:axId val="250730752"/>
        <c:axId val="250736640"/>
      </c:barChart>
      <c:catAx>
        <c:axId val="250730752"/>
        <c:scaling>
          <c:orientation val="minMax"/>
        </c:scaling>
        <c:delete val="0"/>
        <c:axPos val="b"/>
        <c:majorTickMark val="out"/>
        <c:minorTickMark val="none"/>
        <c:tickLblPos val="nextTo"/>
        <c:txPr>
          <a:bodyPr/>
          <a:lstStyle/>
          <a:p>
            <a:pPr>
              <a:defRPr b="1"/>
            </a:pPr>
            <a:endParaRPr lang="en-US"/>
          </a:p>
        </c:txPr>
        <c:crossAx val="250736640"/>
        <c:crosses val="autoZero"/>
        <c:auto val="1"/>
        <c:lblAlgn val="ctr"/>
        <c:lblOffset val="100"/>
        <c:noMultiLvlLbl val="0"/>
      </c:catAx>
      <c:valAx>
        <c:axId val="250736640"/>
        <c:scaling>
          <c:orientation val="minMax"/>
        </c:scaling>
        <c:delete val="0"/>
        <c:axPos val="l"/>
        <c:numFmt formatCode="_(* #,##0.0_);_(* \(#,##0.0\);_(* &quot;-&quot;??_);_(@_)" sourceLinked="1"/>
        <c:majorTickMark val="out"/>
        <c:minorTickMark val="none"/>
        <c:tickLblPos val="nextTo"/>
        <c:crossAx val="250730752"/>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'Analysis HF States'!$N$86</c:f>
              <c:strCache>
                <c:ptCount val="1"/>
                <c:pt idx="0">
                  <c:v>Blood Sugar Level among Adults (age 15-49 years) -Blood sugar level - very high (&gt;160 mg/dl) (%)  - NFHS IV</c:v>
                </c:pt>
              </c:strCache>
            </c:strRef>
          </c:tx>
          <c:spPr>
            <a:solidFill>
              <a:srgbClr val="FF33CC"/>
            </a:solidFill>
          </c:spPr>
          <c:invertIfNegative val="0"/>
          <c:dPt>
            <c:idx val="1"/>
            <c:invertIfNegative val="0"/>
            <c:bubble3D val="0"/>
            <c:spPr>
              <a:solidFill>
                <a:schemeClr val="tx2">
                  <a:lumMod val="75000"/>
                </a:schemeClr>
              </a:solidFill>
            </c:spPr>
          </c:dPt>
          <c:dPt>
            <c:idx val="3"/>
            <c:invertIfNegative val="0"/>
            <c:bubble3D val="0"/>
            <c:spPr>
              <a:solidFill>
                <a:schemeClr val="tx2">
                  <a:lumMod val="75000"/>
                </a:schemeClr>
              </a:solidFill>
            </c:spPr>
          </c:dPt>
          <c:dPt>
            <c:idx val="5"/>
            <c:invertIfNegative val="0"/>
            <c:bubble3D val="0"/>
            <c:spPr>
              <a:solidFill>
                <a:schemeClr val="tx2">
                  <a:lumMod val="75000"/>
                </a:schemeClr>
              </a:solidFill>
            </c:spPr>
          </c:dPt>
          <c:dLbls>
            <c:txPr>
              <a:bodyPr/>
              <a:lstStyle/>
              <a:p>
                <a:pPr>
                  <a:defRPr b="1"/>
                </a:pPr>
                <a:endParaRPr lang="en-US"/>
              </a:p>
            </c:txPr>
            <c:showLegendKey val="0"/>
            <c:showVal val="1"/>
            <c:showCatName val="0"/>
            <c:showSerName val="0"/>
            <c:showPercent val="0"/>
            <c:showBubbleSize val="0"/>
            <c:showLeaderLines val="0"/>
          </c:dLbls>
          <c:cat>
            <c:multiLvlStrRef>
              <c:f>'Analysis HF States'!$O$84:$T$85</c:f>
              <c:multiLvlStrCache>
                <c:ptCount val="6"/>
                <c:lvl>
                  <c:pt idx="0">
                    <c:v>Women</c:v>
                  </c:pt>
                  <c:pt idx="1">
                    <c:v>Men</c:v>
                  </c:pt>
                  <c:pt idx="2">
                    <c:v>Women</c:v>
                  </c:pt>
                  <c:pt idx="3">
                    <c:v>Men</c:v>
                  </c:pt>
                  <c:pt idx="4">
                    <c:v>Women</c:v>
                  </c:pt>
                  <c:pt idx="5">
                    <c:v>Men</c:v>
                  </c:pt>
                </c:lvl>
                <c:lvl>
                  <c:pt idx="0">
                    <c:v>Bihar</c:v>
                  </c:pt>
                  <c:pt idx="2">
                    <c:v>Madhya Pradesh</c:v>
                  </c:pt>
                  <c:pt idx="4">
                    <c:v>Uttarakhand</c:v>
                  </c:pt>
                </c:lvl>
              </c:multiLvlStrCache>
            </c:multiLvlStrRef>
          </c:cat>
          <c:val>
            <c:numRef>
              <c:f>'Analysis HF States'!$O$86:$T$86</c:f>
              <c:numCache>
                <c:formatCode>_(* #,##0.0_);_(* \(#,##0.0\);_(* "-"??_);_(@_)</c:formatCode>
                <c:ptCount val="6"/>
                <c:pt idx="0">
                  <c:v>1.9000000000000001</c:v>
                </c:pt>
                <c:pt idx="1">
                  <c:v>3.3</c:v>
                </c:pt>
                <c:pt idx="2">
                  <c:v>2.1</c:v>
                </c:pt>
                <c:pt idx="3">
                  <c:v>2.9</c:v>
                </c:pt>
                <c:pt idx="4">
                  <c:v>2.5</c:v>
                </c:pt>
                <c:pt idx="5">
                  <c:v>4.5999999999999996</c:v>
                </c:pt>
              </c:numCache>
            </c:numRef>
          </c:val>
        </c:ser>
        <c:dLbls>
          <c:showLegendKey val="0"/>
          <c:showVal val="0"/>
          <c:showCatName val="0"/>
          <c:showSerName val="0"/>
          <c:showPercent val="0"/>
          <c:showBubbleSize val="0"/>
        </c:dLbls>
        <c:gapWidth val="150"/>
        <c:axId val="250786944"/>
        <c:axId val="250788480"/>
      </c:barChart>
      <c:catAx>
        <c:axId val="250786944"/>
        <c:scaling>
          <c:orientation val="minMax"/>
        </c:scaling>
        <c:delete val="0"/>
        <c:axPos val="b"/>
        <c:majorTickMark val="out"/>
        <c:minorTickMark val="none"/>
        <c:tickLblPos val="nextTo"/>
        <c:txPr>
          <a:bodyPr/>
          <a:lstStyle/>
          <a:p>
            <a:pPr>
              <a:defRPr b="1"/>
            </a:pPr>
            <a:endParaRPr lang="en-US"/>
          </a:p>
        </c:txPr>
        <c:crossAx val="250788480"/>
        <c:crosses val="autoZero"/>
        <c:auto val="1"/>
        <c:lblAlgn val="ctr"/>
        <c:lblOffset val="100"/>
        <c:noMultiLvlLbl val="0"/>
      </c:catAx>
      <c:valAx>
        <c:axId val="250788480"/>
        <c:scaling>
          <c:orientation val="minMax"/>
        </c:scaling>
        <c:delete val="0"/>
        <c:axPos val="l"/>
        <c:numFmt formatCode="_(* #,##0.0_);_(* \(#,##0.0\);_(* &quot;-&quot;??_);_(@_)" sourceLinked="1"/>
        <c:majorTickMark val="out"/>
        <c:minorTickMark val="none"/>
        <c:tickLblPos val="nextTo"/>
        <c:crossAx val="250786944"/>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'Analysis HF States'!$N$91</c:f>
              <c:strCache>
                <c:ptCount val="1"/>
                <c:pt idx="0">
                  <c:v>Hypertension among Adults (age 15-49 years) - Slightly above normal (Systolic 140-159 mm of Hg and/or Diastolic 90-99 mm of Hg) (%)  - NFHS IV</c:v>
                </c:pt>
              </c:strCache>
            </c:strRef>
          </c:tx>
          <c:spPr>
            <a:solidFill>
              <a:srgbClr val="FF33CC"/>
            </a:solidFill>
          </c:spPr>
          <c:invertIfNegative val="0"/>
          <c:dPt>
            <c:idx val="1"/>
            <c:invertIfNegative val="0"/>
            <c:bubble3D val="0"/>
            <c:spPr>
              <a:solidFill>
                <a:schemeClr val="tx2">
                  <a:lumMod val="75000"/>
                </a:schemeClr>
              </a:solidFill>
            </c:spPr>
          </c:dPt>
          <c:dPt>
            <c:idx val="3"/>
            <c:invertIfNegative val="0"/>
            <c:bubble3D val="0"/>
            <c:spPr>
              <a:solidFill>
                <a:schemeClr val="tx2">
                  <a:lumMod val="75000"/>
                </a:schemeClr>
              </a:solidFill>
            </c:spPr>
          </c:dPt>
          <c:dPt>
            <c:idx val="5"/>
            <c:invertIfNegative val="0"/>
            <c:bubble3D val="0"/>
            <c:spPr>
              <a:solidFill>
                <a:schemeClr val="tx2">
                  <a:lumMod val="75000"/>
                </a:schemeClr>
              </a:solidFill>
            </c:spPr>
          </c:dPt>
          <c:dLbls>
            <c:txPr>
              <a:bodyPr/>
              <a:lstStyle/>
              <a:p>
                <a:pPr>
                  <a:defRPr b="1"/>
                </a:pPr>
                <a:endParaRPr lang="en-US"/>
              </a:p>
            </c:txPr>
            <c:showLegendKey val="0"/>
            <c:showVal val="1"/>
            <c:showCatName val="0"/>
            <c:showSerName val="0"/>
            <c:showPercent val="0"/>
            <c:showBubbleSize val="0"/>
            <c:showLeaderLines val="0"/>
          </c:dLbls>
          <c:cat>
            <c:multiLvlStrRef>
              <c:f>'Analysis HF States'!$O$89:$T$90</c:f>
              <c:multiLvlStrCache>
                <c:ptCount val="6"/>
                <c:lvl>
                  <c:pt idx="0">
                    <c:v>Women</c:v>
                  </c:pt>
                  <c:pt idx="1">
                    <c:v>Men</c:v>
                  </c:pt>
                  <c:pt idx="2">
                    <c:v>Women</c:v>
                  </c:pt>
                  <c:pt idx="3">
                    <c:v>Men</c:v>
                  </c:pt>
                  <c:pt idx="4">
                    <c:v>Women</c:v>
                  </c:pt>
                  <c:pt idx="5">
                    <c:v>Men</c:v>
                  </c:pt>
                </c:lvl>
                <c:lvl>
                  <c:pt idx="0">
                    <c:v>Bihar</c:v>
                  </c:pt>
                  <c:pt idx="2">
                    <c:v>Madhya Pradesh</c:v>
                  </c:pt>
                  <c:pt idx="4">
                    <c:v>Uttarakhand</c:v>
                  </c:pt>
                </c:lvl>
              </c:multiLvlStrCache>
            </c:multiLvlStrRef>
          </c:cat>
          <c:val>
            <c:numRef>
              <c:f>'Analysis HF States'!$O$91:$T$91</c:f>
              <c:numCache>
                <c:formatCode>_(* #,##0.0_);_(* \(#,##0.0\);_(* "-"??_);_(@_)</c:formatCode>
                <c:ptCount val="6"/>
                <c:pt idx="0">
                  <c:v>4.4000000000000004</c:v>
                </c:pt>
                <c:pt idx="1">
                  <c:v>7.6</c:v>
                </c:pt>
                <c:pt idx="2">
                  <c:v>6.1</c:v>
                </c:pt>
                <c:pt idx="3">
                  <c:v>8.2000000000000011</c:v>
                </c:pt>
                <c:pt idx="4">
                  <c:v>7.2</c:v>
                </c:pt>
                <c:pt idx="5">
                  <c:v>13.1</c:v>
                </c:pt>
              </c:numCache>
            </c:numRef>
          </c:val>
        </c:ser>
        <c:dLbls>
          <c:showLegendKey val="0"/>
          <c:showVal val="0"/>
          <c:showCatName val="0"/>
          <c:showSerName val="0"/>
          <c:showPercent val="0"/>
          <c:showBubbleSize val="0"/>
        </c:dLbls>
        <c:gapWidth val="150"/>
        <c:axId val="250797440"/>
        <c:axId val="293733504"/>
      </c:barChart>
      <c:catAx>
        <c:axId val="250797440"/>
        <c:scaling>
          <c:orientation val="minMax"/>
        </c:scaling>
        <c:delete val="0"/>
        <c:axPos val="b"/>
        <c:majorTickMark val="out"/>
        <c:minorTickMark val="none"/>
        <c:tickLblPos val="nextTo"/>
        <c:txPr>
          <a:bodyPr/>
          <a:lstStyle/>
          <a:p>
            <a:pPr>
              <a:defRPr b="1"/>
            </a:pPr>
            <a:endParaRPr lang="en-US"/>
          </a:p>
        </c:txPr>
        <c:crossAx val="293733504"/>
        <c:crosses val="autoZero"/>
        <c:auto val="1"/>
        <c:lblAlgn val="ctr"/>
        <c:lblOffset val="100"/>
        <c:noMultiLvlLbl val="0"/>
      </c:catAx>
      <c:valAx>
        <c:axId val="293733504"/>
        <c:scaling>
          <c:orientation val="minMax"/>
        </c:scaling>
        <c:delete val="0"/>
        <c:axPos val="l"/>
        <c:numFmt formatCode="_(* #,##0.0_);_(* \(#,##0.0\);_(* &quot;-&quot;??_);_(@_)" sourceLinked="1"/>
        <c:majorTickMark val="out"/>
        <c:minorTickMark val="none"/>
        <c:tickLblPos val="nextTo"/>
        <c:crossAx val="250797440"/>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'Analysis HF States'!$N$94</c:f>
              <c:strCache>
                <c:ptCount val="1"/>
                <c:pt idx="0">
                  <c:v>Hypertension among Adults (age 15-49 years) -  Moderately high (Systolic 160-179 mm of Hg and/or Diastolic 100-109 mm of Hg) (%)  - NFHS IV</c:v>
                </c:pt>
              </c:strCache>
            </c:strRef>
          </c:tx>
          <c:spPr>
            <a:solidFill>
              <a:srgbClr val="FF33CC"/>
            </a:solidFill>
          </c:spPr>
          <c:invertIfNegative val="0"/>
          <c:dPt>
            <c:idx val="1"/>
            <c:invertIfNegative val="0"/>
            <c:bubble3D val="0"/>
            <c:spPr>
              <a:solidFill>
                <a:schemeClr val="tx2">
                  <a:lumMod val="75000"/>
                </a:schemeClr>
              </a:solidFill>
            </c:spPr>
          </c:dPt>
          <c:dPt>
            <c:idx val="3"/>
            <c:invertIfNegative val="0"/>
            <c:bubble3D val="0"/>
            <c:spPr>
              <a:solidFill>
                <a:schemeClr val="tx2">
                  <a:lumMod val="75000"/>
                </a:schemeClr>
              </a:solidFill>
            </c:spPr>
          </c:dPt>
          <c:dPt>
            <c:idx val="5"/>
            <c:invertIfNegative val="0"/>
            <c:bubble3D val="0"/>
            <c:spPr>
              <a:solidFill>
                <a:schemeClr val="tx2">
                  <a:lumMod val="75000"/>
                </a:schemeClr>
              </a:solidFill>
            </c:spPr>
          </c:dPt>
          <c:dLbls>
            <c:txPr>
              <a:bodyPr/>
              <a:lstStyle/>
              <a:p>
                <a:pPr>
                  <a:defRPr b="1"/>
                </a:pPr>
                <a:endParaRPr lang="en-US"/>
              </a:p>
            </c:txPr>
            <c:showLegendKey val="0"/>
            <c:showVal val="1"/>
            <c:showCatName val="0"/>
            <c:showSerName val="0"/>
            <c:showPercent val="0"/>
            <c:showBubbleSize val="0"/>
            <c:showLeaderLines val="0"/>
          </c:dLbls>
          <c:cat>
            <c:multiLvlStrRef>
              <c:f>'Analysis HF States'!$O$92:$T$93</c:f>
              <c:multiLvlStrCache>
                <c:ptCount val="6"/>
                <c:lvl>
                  <c:pt idx="0">
                    <c:v>Women</c:v>
                  </c:pt>
                  <c:pt idx="1">
                    <c:v>Men</c:v>
                  </c:pt>
                  <c:pt idx="2">
                    <c:v>Women</c:v>
                  </c:pt>
                  <c:pt idx="3">
                    <c:v>Men</c:v>
                  </c:pt>
                  <c:pt idx="4">
                    <c:v>Women</c:v>
                  </c:pt>
                  <c:pt idx="5">
                    <c:v>Men</c:v>
                  </c:pt>
                </c:lvl>
                <c:lvl>
                  <c:pt idx="0">
                    <c:v>Bihar</c:v>
                  </c:pt>
                  <c:pt idx="2">
                    <c:v>Madhya Pradesh</c:v>
                  </c:pt>
                  <c:pt idx="4">
                    <c:v>Uttarakhand</c:v>
                  </c:pt>
                </c:lvl>
              </c:multiLvlStrCache>
            </c:multiLvlStrRef>
          </c:cat>
          <c:val>
            <c:numRef>
              <c:f>'Analysis HF States'!$O$94:$T$94</c:f>
              <c:numCache>
                <c:formatCode>_(* #,##0.0_);_(* \(#,##0.0\);_(* "-"??_);_(@_)</c:formatCode>
                <c:ptCount val="6"/>
                <c:pt idx="0">
                  <c:v>0.9</c:v>
                </c:pt>
                <c:pt idx="1">
                  <c:v>1.3</c:v>
                </c:pt>
                <c:pt idx="2">
                  <c:v>1.2</c:v>
                </c:pt>
                <c:pt idx="3">
                  <c:v>2</c:v>
                </c:pt>
                <c:pt idx="4">
                  <c:v>1.6</c:v>
                </c:pt>
                <c:pt idx="5">
                  <c:v>3.3</c:v>
                </c:pt>
              </c:numCache>
            </c:numRef>
          </c:val>
        </c:ser>
        <c:dLbls>
          <c:showLegendKey val="0"/>
          <c:showVal val="0"/>
          <c:showCatName val="0"/>
          <c:showSerName val="0"/>
          <c:showPercent val="0"/>
          <c:showBubbleSize val="0"/>
        </c:dLbls>
        <c:gapWidth val="150"/>
        <c:axId val="293751040"/>
        <c:axId val="293761024"/>
      </c:barChart>
      <c:catAx>
        <c:axId val="293751040"/>
        <c:scaling>
          <c:orientation val="minMax"/>
        </c:scaling>
        <c:delete val="0"/>
        <c:axPos val="b"/>
        <c:majorTickMark val="out"/>
        <c:minorTickMark val="none"/>
        <c:tickLblPos val="nextTo"/>
        <c:txPr>
          <a:bodyPr/>
          <a:lstStyle/>
          <a:p>
            <a:pPr>
              <a:defRPr b="1"/>
            </a:pPr>
            <a:endParaRPr lang="en-US"/>
          </a:p>
        </c:txPr>
        <c:crossAx val="293761024"/>
        <c:crosses val="autoZero"/>
        <c:auto val="1"/>
        <c:lblAlgn val="ctr"/>
        <c:lblOffset val="100"/>
        <c:noMultiLvlLbl val="0"/>
      </c:catAx>
      <c:valAx>
        <c:axId val="293761024"/>
        <c:scaling>
          <c:orientation val="minMax"/>
        </c:scaling>
        <c:delete val="0"/>
        <c:axPos val="l"/>
        <c:numFmt formatCode="_(* #,##0.0_);_(* \(#,##0.0\);_(* &quot;-&quot;??_);_(@_)" sourceLinked="1"/>
        <c:majorTickMark val="out"/>
        <c:minorTickMark val="none"/>
        <c:tickLblPos val="nextTo"/>
        <c:crossAx val="293751040"/>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'Analysis HF States'!$N$97</c:f>
              <c:strCache>
                <c:ptCount val="1"/>
                <c:pt idx="0">
                  <c:v>Hypertension among Adults (age 15-49 years) - Very high (Systolic ≥180 mm of Hg and/or Diastolic ≥110 mm of Hg) (%)  - NFHS IV</c:v>
                </c:pt>
              </c:strCache>
            </c:strRef>
          </c:tx>
          <c:spPr>
            <a:solidFill>
              <a:srgbClr val="FF33CC"/>
            </a:solidFill>
          </c:spPr>
          <c:invertIfNegative val="0"/>
          <c:dPt>
            <c:idx val="1"/>
            <c:invertIfNegative val="0"/>
            <c:bubble3D val="0"/>
            <c:spPr>
              <a:solidFill>
                <a:schemeClr val="tx2">
                  <a:lumMod val="75000"/>
                </a:schemeClr>
              </a:solidFill>
            </c:spPr>
          </c:dPt>
          <c:dPt>
            <c:idx val="3"/>
            <c:invertIfNegative val="0"/>
            <c:bubble3D val="0"/>
            <c:spPr>
              <a:solidFill>
                <a:schemeClr val="tx2">
                  <a:lumMod val="75000"/>
                </a:schemeClr>
              </a:solidFill>
            </c:spPr>
          </c:dPt>
          <c:dPt>
            <c:idx val="5"/>
            <c:invertIfNegative val="0"/>
            <c:bubble3D val="0"/>
            <c:spPr>
              <a:solidFill>
                <a:schemeClr val="tx2">
                  <a:lumMod val="75000"/>
                </a:schemeClr>
              </a:solidFill>
            </c:spPr>
          </c:dPt>
          <c:dLbls>
            <c:txPr>
              <a:bodyPr/>
              <a:lstStyle/>
              <a:p>
                <a:pPr>
                  <a:defRPr b="1"/>
                </a:pPr>
                <a:endParaRPr lang="en-US"/>
              </a:p>
            </c:txPr>
            <c:showLegendKey val="0"/>
            <c:showVal val="1"/>
            <c:showCatName val="0"/>
            <c:showSerName val="0"/>
            <c:showPercent val="0"/>
            <c:showBubbleSize val="0"/>
            <c:showLeaderLines val="0"/>
          </c:dLbls>
          <c:cat>
            <c:multiLvlStrRef>
              <c:f>'Analysis HF States'!$O$95:$T$96</c:f>
              <c:multiLvlStrCache>
                <c:ptCount val="6"/>
                <c:lvl>
                  <c:pt idx="0">
                    <c:v>Women</c:v>
                  </c:pt>
                  <c:pt idx="1">
                    <c:v>Men</c:v>
                  </c:pt>
                  <c:pt idx="2">
                    <c:v>Women</c:v>
                  </c:pt>
                  <c:pt idx="3">
                    <c:v>Men</c:v>
                  </c:pt>
                  <c:pt idx="4">
                    <c:v>Women</c:v>
                  </c:pt>
                  <c:pt idx="5">
                    <c:v>Men</c:v>
                  </c:pt>
                </c:lvl>
                <c:lvl>
                  <c:pt idx="0">
                    <c:v>Bihar</c:v>
                  </c:pt>
                  <c:pt idx="2">
                    <c:v>Madhya Pradesh</c:v>
                  </c:pt>
                  <c:pt idx="4">
                    <c:v>Uttarakhand</c:v>
                  </c:pt>
                </c:lvl>
              </c:multiLvlStrCache>
            </c:multiLvlStrRef>
          </c:cat>
          <c:val>
            <c:numRef>
              <c:f>'Analysis HF States'!$O$97:$T$97</c:f>
              <c:numCache>
                <c:formatCode>_(* #,##0.0_);_(* \(#,##0.0\);_(* "-"??_);_(@_)</c:formatCode>
                <c:ptCount val="6"/>
                <c:pt idx="0">
                  <c:v>0.60000000000000042</c:v>
                </c:pt>
                <c:pt idx="1">
                  <c:v>0.5</c:v>
                </c:pt>
                <c:pt idx="2">
                  <c:v>0.60000000000000042</c:v>
                </c:pt>
                <c:pt idx="3">
                  <c:v>0.7000000000000004</c:v>
                </c:pt>
                <c:pt idx="4">
                  <c:v>0.8</c:v>
                </c:pt>
                <c:pt idx="5">
                  <c:v>0.8</c:v>
                </c:pt>
              </c:numCache>
            </c:numRef>
          </c:val>
        </c:ser>
        <c:dLbls>
          <c:showLegendKey val="0"/>
          <c:showVal val="0"/>
          <c:showCatName val="0"/>
          <c:showSerName val="0"/>
          <c:showPercent val="0"/>
          <c:showBubbleSize val="0"/>
        </c:dLbls>
        <c:gapWidth val="150"/>
        <c:axId val="293782656"/>
        <c:axId val="293784192"/>
      </c:barChart>
      <c:catAx>
        <c:axId val="293782656"/>
        <c:scaling>
          <c:orientation val="minMax"/>
        </c:scaling>
        <c:delete val="0"/>
        <c:axPos val="b"/>
        <c:majorTickMark val="out"/>
        <c:minorTickMark val="none"/>
        <c:tickLblPos val="nextTo"/>
        <c:txPr>
          <a:bodyPr/>
          <a:lstStyle/>
          <a:p>
            <a:pPr>
              <a:defRPr b="1"/>
            </a:pPr>
            <a:endParaRPr lang="en-US"/>
          </a:p>
        </c:txPr>
        <c:crossAx val="293784192"/>
        <c:crosses val="autoZero"/>
        <c:auto val="1"/>
        <c:lblAlgn val="ctr"/>
        <c:lblOffset val="100"/>
        <c:noMultiLvlLbl val="0"/>
      </c:catAx>
      <c:valAx>
        <c:axId val="293784192"/>
        <c:scaling>
          <c:orientation val="minMax"/>
        </c:scaling>
        <c:delete val="0"/>
        <c:axPos val="l"/>
        <c:numFmt formatCode="_(* #,##0.0_);_(* \(#,##0.0\);_(* &quot;-&quot;??_);_(@_)" sourceLinked="1"/>
        <c:majorTickMark val="out"/>
        <c:minorTickMark val="none"/>
        <c:tickLblPos val="nextTo"/>
        <c:crossAx val="2937826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600"/>
          </a:pPr>
          <a:endParaRPr lang="en-US"/>
        </a:p>
      </c:txPr>
    </c:title>
    <c:autoTitleDeleted val="0"/>
    <c:plotArea>
      <c:layout/>
      <c:barChart>
        <c:barDir val="col"/>
        <c:grouping val="clustered"/>
        <c:varyColors val="0"/>
        <c:ser>
          <c:idx val="0"/>
          <c:order val="0"/>
          <c:tx>
            <c:strRef>
              <c:f>Sheet4!$N$9</c:f>
              <c:strCache>
                <c:ptCount val="1"/>
                <c:pt idx="0">
                  <c:v> Infant mortality rate (IMR)</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Sheet4!$O$7:$T$8</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Sheet4!$O$9:$T$9</c:f>
              <c:numCache>
                <c:formatCode>_(* #,##0.0_);_(* \(#,##0.0\);_(* "-"??_);_(@_)</c:formatCode>
                <c:ptCount val="6"/>
                <c:pt idx="0">
                  <c:v>48</c:v>
                </c:pt>
                <c:pt idx="1">
                  <c:v>61</c:v>
                </c:pt>
                <c:pt idx="2">
                  <c:v>51</c:v>
                </c:pt>
                <c:pt idx="3">
                  <c:v>69</c:v>
                </c:pt>
                <c:pt idx="4">
                  <c:v>40</c:v>
                </c:pt>
                <c:pt idx="5">
                  <c:v>42</c:v>
                </c:pt>
              </c:numCache>
            </c:numRef>
          </c:val>
        </c:ser>
        <c:dLbls>
          <c:showLegendKey val="0"/>
          <c:showVal val="0"/>
          <c:showCatName val="0"/>
          <c:showSerName val="0"/>
          <c:showPercent val="0"/>
          <c:showBubbleSize val="0"/>
        </c:dLbls>
        <c:gapWidth val="150"/>
        <c:axId val="146325504"/>
        <c:axId val="146327040"/>
      </c:barChart>
      <c:catAx>
        <c:axId val="146325504"/>
        <c:scaling>
          <c:orientation val="minMax"/>
        </c:scaling>
        <c:delete val="0"/>
        <c:axPos val="b"/>
        <c:majorTickMark val="out"/>
        <c:minorTickMark val="none"/>
        <c:tickLblPos val="nextTo"/>
        <c:txPr>
          <a:bodyPr/>
          <a:lstStyle/>
          <a:p>
            <a:pPr>
              <a:defRPr b="1"/>
            </a:pPr>
            <a:endParaRPr lang="en-US"/>
          </a:p>
        </c:txPr>
        <c:crossAx val="146327040"/>
        <c:crosses val="autoZero"/>
        <c:auto val="1"/>
        <c:lblAlgn val="ctr"/>
        <c:lblOffset val="100"/>
        <c:noMultiLvlLbl val="0"/>
      </c:catAx>
      <c:valAx>
        <c:axId val="146327040"/>
        <c:scaling>
          <c:orientation val="minMax"/>
        </c:scaling>
        <c:delete val="0"/>
        <c:axPos val="l"/>
        <c:numFmt formatCode="_(* #,##0.0_);_(* \(#,##0.0\);_(* &quot;-&quot;??_);_(@_)" sourceLinked="1"/>
        <c:majorTickMark val="out"/>
        <c:minorTickMark val="none"/>
        <c:tickLblPos val="nextTo"/>
        <c:crossAx val="1463255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600"/>
          </a:pPr>
          <a:endParaRPr lang="en-US"/>
        </a:p>
      </c:txPr>
    </c:title>
    <c:autoTitleDeleted val="0"/>
    <c:plotArea>
      <c:layout/>
      <c:barChart>
        <c:barDir val="col"/>
        <c:grouping val="clustered"/>
        <c:varyColors val="0"/>
        <c:ser>
          <c:idx val="0"/>
          <c:order val="0"/>
          <c:tx>
            <c:strRef>
              <c:f>Sheet4!$N$12</c:f>
              <c:strCache>
                <c:ptCount val="1"/>
                <c:pt idx="0">
                  <c:v> Under-five mortality rate (U5MR)</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Sheet4!$O$10:$T$11</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Sheet4!$O$12:$T$12</c:f>
              <c:numCache>
                <c:formatCode>_(* #,##0.0_);_(* \(#,##0.0\);_(* "-"??_);_(@_)</c:formatCode>
                <c:ptCount val="6"/>
                <c:pt idx="0">
                  <c:v>58</c:v>
                </c:pt>
                <c:pt idx="1">
                  <c:v>84</c:v>
                </c:pt>
                <c:pt idx="2">
                  <c:v>65</c:v>
                </c:pt>
                <c:pt idx="3">
                  <c:v>93</c:v>
                </c:pt>
                <c:pt idx="4">
                  <c:v>47</c:v>
                </c:pt>
                <c:pt idx="5">
                  <c:v>56</c:v>
                </c:pt>
              </c:numCache>
            </c:numRef>
          </c:val>
        </c:ser>
        <c:dLbls>
          <c:showLegendKey val="0"/>
          <c:showVal val="0"/>
          <c:showCatName val="0"/>
          <c:showSerName val="0"/>
          <c:showPercent val="0"/>
          <c:showBubbleSize val="0"/>
        </c:dLbls>
        <c:gapWidth val="150"/>
        <c:axId val="146335616"/>
        <c:axId val="146337152"/>
      </c:barChart>
      <c:catAx>
        <c:axId val="146335616"/>
        <c:scaling>
          <c:orientation val="minMax"/>
        </c:scaling>
        <c:delete val="0"/>
        <c:axPos val="b"/>
        <c:majorTickMark val="out"/>
        <c:minorTickMark val="none"/>
        <c:tickLblPos val="nextTo"/>
        <c:txPr>
          <a:bodyPr/>
          <a:lstStyle/>
          <a:p>
            <a:pPr>
              <a:defRPr b="1"/>
            </a:pPr>
            <a:endParaRPr lang="en-US"/>
          </a:p>
        </c:txPr>
        <c:crossAx val="146337152"/>
        <c:crosses val="autoZero"/>
        <c:auto val="1"/>
        <c:lblAlgn val="ctr"/>
        <c:lblOffset val="100"/>
        <c:noMultiLvlLbl val="0"/>
      </c:catAx>
      <c:valAx>
        <c:axId val="146337152"/>
        <c:scaling>
          <c:orientation val="minMax"/>
        </c:scaling>
        <c:delete val="0"/>
        <c:axPos val="l"/>
        <c:numFmt formatCode="_(* #,##0.0_);_(* \(#,##0.0\);_(* &quot;-&quot;??_);_(@_)" sourceLinked="1"/>
        <c:majorTickMark val="out"/>
        <c:minorTickMark val="none"/>
        <c:tickLblPos val="nextTo"/>
        <c:crossAx val="1463356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600"/>
          </a:pPr>
          <a:endParaRPr lang="en-US"/>
        </a:p>
      </c:txPr>
    </c:title>
    <c:autoTitleDeleted val="0"/>
    <c:plotArea>
      <c:layout/>
      <c:barChart>
        <c:barDir val="col"/>
        <c:grouping val="clustered"/>
        <c:varyColors val="0"/>
        <c:ser>
          <c:idx val="0"/>
          <c:order val="0"/>
          <c:tx>
            <c:strRef>
              <c:f>Sheet4!$N$15</c:f>
              <c:strCache>
                <c:ptCount val="1"/>
                <c:pt idx="0">
                  <c:v> Total unmet need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Sheet4!$O$13:$T$14</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Sheet4!$O$15:$T$15</c:f>
              <c:numCache>
                <c:formatCode>_(* #,##0.0_);_(* \(#,##0.0\);_(* "-"??_);_(@_)</c:formatCode>
                <c:ptCount val="6"/>
                <c:pt idx="0">
                  <c:v>21.2</c:v>
                </c:pt>
                <c:pt idx="1">
                  <c:v>23.9</c:v>
                </c:pt>
                <c:pt idx="2">
                  <c:v>12.1</c:v>
                </c:pt>
                <c:pt idx="3">
                  <c:v>12.1</c:v>
                </c:pt>
                <c:pt idx="4">
                  <c:v>15.5</c:v>
                </c:pt>
                <c:pt idx="5">
                  <c:v>12.6</c:v>
                </c:pt>
              </c:numCache>
            </c:numRef>
          </c:val>
        </c:ser>
        <c:dLbls>
          <c:showLegendKey val="0"/>
          <c:showVal val="0"/>
          <c:showCatName val="0"/>
          <c:showSerName val="0"/>
          <c:showPercent val="0"/>
          <c:showBubbleSize val="0"/>
        </c:dLbls>
        <c:gapWidth val="150"/>
        <c:axId val="146350848"/>
        <c:axId val="146352384"/>
      </c:barChart>
      <c:catAx>
        <c:axId val="146350848"/>
        <c:scaling>
          <c:orientation val="minMax"/>
        </c:scaling>
        <c:delete val="0"/>
        <c:axPos val="b"/>
        <c:majorTickMark val="out"/>
        <c:minorTickMark val="none"/>
        <c:tickLblPos val="nextTo"/>
        <c:txPr>
          <a:bodyPr/>
          <a:lstStyle/>
          <a:p>
            <a:pPr>
              <a:defRPr b="1"/>
            </a:pPr>
            <a:endParaRPr lang="en-US"/>
          </a:p>
        </c:txPr>
        <c:crossAx val="146352384"/>
        <c:crosses val="autoZero"/>
        <c:auto val="1"/>
        <c:lblAlgn val="ctr"/>
        <c:lblOffset val="100"/>
        <c:noMultiLvlLbl val="0"/>
      </c:catAx>
      <c:valAx>
        <c:axId val="146352384"/>
        <c:scaling>
          <c:orientation val="minMax"/>
        </c:scaling>
        <c:delete val="0"/>
        <c:axPos val="l"/>
        <c:numFmt formatCode="_(* #,##0.0_);_(* \(#,##0.0\);_(* &quot;-&quot;??_);_(@_)" sourceLinked="1"/>
        <c:majorTickMark val="out"/>
        <c:minorTickMark val="none"/>
        <c:tickLblPos val="nextTo"/>
        <c:crossAx val="14635084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600"/>
          </a:pPr>
          <a:endParaRPr lang="en-US"/>
        </a:p>
      </c:txPr>
    </c:title>
    <c:autoTitleDeleted val="0"/>
    <c:plotArea>
      <c:layout/>
      <c:barChart>
        <c:barDir val="col"/>
        <c:grouping val="clustered"/>
        <c:varyColors val="0"/>
        <c:ser>
          <c:idx val="0"/>
          <c:order val="0"/>
          <c:tx>
            <c:strRef>
              <c:f>Sheet4!$N$19</c:f>
              <c:strCache>
                <c:ptCount val="1"/>
                <c:pt idx="0">
                  <c:v> Mothers who had antenatal check-up in the first trimester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Sheet4!$O$17:$T$18</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Sheet4!$O$19:$T$19</c:f>
              <c:numCache>
                <c:formatCode>_(* #,##0.0_);_(* \(#,##0.0\);_(* "-"??_);_(@_)</c:formatCode>
                <c:ptCount val="6"/>
                <c:pt idx="0">
                  <c:v>34.6</c:v>
                </c:pt>
                <c:pt idx="1">
                  <c:v>18.7</c:v>
                </c:pt>
                <c:pt idx="2">
                  <c:v>53.1</c:v>
                </c:pt>
                <c:pt idx="3">
                  <c:v>39.300000000000004</c:v>
                </c:pt>
                <c:pt idx="4">
                  <c:v>53.5</c:v>
                </c:pt>
                <c:pt idx="5">
                  <c:v>43.3</c:v>
                </c:pt>
              </c:numCache>
            </c:numRef>
          </c:val>
        </c:ser>
        <c:dLbls>
          <c:showLegendKey val="0"/>
          <c:showVal val="0"/>
          <c:showCatName val="0"/>
          <c:showSerName val="0"/>
          <c:showPercent val="0"/>
          <c:showBubbleSize val="0"/>
        </c:dLbls>
        <c:gapWidth val="150"/>
        <c:axId val="146361728"/>
        <c:axId val="146371712"/>
      </c:barChart>
      <c:catAx>
        <c:axId val="146361728"/>
        <c:scaling>
          <c:orientation val="minMax"/>
        </c:scaling>
        <c:delete val="0"/>
        <c:axPos val="b"/>
        <c:majorTickMark val="out"/>
        <c:minorTickMark val="none"/>
        <c:tickLblPos val="nextTo"/>
        <c:txPr>
          <a:bodyPr/>
          <a:lstStyle/>
          <a:p>
            <a:pPr>
              <a:defRPr b="1"/>
            </a:pPr>
            <a:endParaRPr lang="en-US"/>
          </a:p>
        </c:txPr>
        <c:crossAx val="146371712"/>
        <c:crosses val="autoZero"/>
        <c:auto val="1"/>
        <c:lblAlgn val="ctr"/>
        <c:lblOffset val="100"/>
        <c:noMultiLvlLbl val="0"/>
      </c:catAx>
      <c:valAx>
        <c:axId val="146371712"/>
        <c:scaling>
          <c:orientation val="minMax"/>
        </c:scaling>
        <c:delete val="0"/>
        <c:axPos val="l"/>
        <c:numFmt formatCode="_(* #,##0.0_);_(* \(#,##0.0\);_(* &quot;-&quot;??_);_(@_)" sourceLinked="1"/>
        <c:majorTickMark val="out"/>
        <c:minorTickMark val="none"/>
        <c:tickLblPos val="nextTo"/>
        <c:crossAx val="1463617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600"/>
          </a:pPr>
          <a:endParaRPr lang="en-US"/>
        </a:p>
      </c:txPr>
    </c:title>
    <c:autoTitleDeleted val="0"/>
    <c:plotArea>
      <c:layout/>
      <c:barChart>
        <c:barDir val="col"/>
        <c:grouping val="clustered"/>
        <c:varyColors val="0"/>
        <c:ser>
          <c:idx val="0"/>
          <c:order val="0"/>
          <c:tx>
            <c:strRef>
              <c:f>Sheet4!$N$22</c:f>
              <c:strCache>
                <c:ptCount val="1"/>
                <c:pt idx="0">
                  <c:v> Mothers who had at least 4 antenatal care visits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Sheet4!$O$20:$T$21</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Sheet4!$O$22:$T$22</c:f>
              <c:numCache>
                <c:formatCode>_(* #,##0.0_);_(* \(#,##0.0\);_(* "-"??_);_(@_)</c:formatCode>
                <c:ptCount val="6"/>
                <c:pt idx="0">
                  <c:v>14.4</c:v>
                </c:pt>
                <c:pt idx="1">
                  <c:v>11.2</c:v>
                </c:pt>
                <c:pt idx="2">
                  <c:v>35.700000000000003</c:v>
                </c:pt>
                <c:pt idx="3">
                  <c:v>22.3</c:v>
                </c:pt>
                <c:pt idx="4">
                  <c:v>30.9</c:v>
                </c:pt>
                <c:pt idx="5">
                  <c:v>34.9</c:v>
                </c:pt>
              </c:numCache>
            </c:numRef>
          </c:val>
        </c:ser>
        <c:dLbls>
          <c:showLegendKey val="0"/>
          <c:showVal val="0"/>
          <c:showCatName val="0"/>
          <c:showSerName val="0"/>
          <c:showPercent val="0"/>
          <c:showBubbleSize val="0"/>
        </c:dLbls>
        <c:gapWidth val="150"/>
        <c:axId val="146393344"/>
        <c:axId val="146395136"/>
      </c:barChart>
      <c:catAx>
        <c:axId val="146393344"/>
        <c:scaling>
          <c:orientation val="minMax"/>
        </c:scaling>
        <c:delete val="0"/>
        <c:axPos val="b"/>
        <c:majorTickMark val="out"/>
        <c:minorTickMark val="none"/>
        <c:tickLblPos val="nextTo"/>
        <c:txPr>
          <a:bodyPr/>
          <a:lstStyle/>
          <a:p>
            <a:pPr>
              <a:defRPr b="1"/>
            </a:pPr>
            <a:endParaRPr lang="en-US"/>
          </a:p>
        </c:txPr>
        <c:crossAx val="146395136"/>
        <c:crosses val="autoZero"/>
        <c:auto val="1"/>
        <c:lblAlgn val="ctr"/>
        <c:lblOffset val="100"/>
        <c:noMultiLvlLbl val="0"/>
      </c:catAx>
      <c:valAx>
        <c:axId val="146395136"/>
        <c:scaling>
          <c:orientation val="minMax"/>
        </c:scaling>
        <c:delete val="0"/>
        <c:axPos val="l"/>
        <c:numFmt formatCode="_(* #,##0.0_);_(* \(#,##0.0\);_(* &quot;-&quot;??_);_(@_)" sourceLinked="1"/>
        <c:majorTickMark val="out"/>
        <c:minorTickMark val="none"/>
        <c:tickLblPos val="nextTo"/>
        <c:crossAx val="14639334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Sheet4!$N$25</c:f>
              <c:strCache>
                <c:ptCount val="1"/>
                <c:pt idx="0">
                  <c:v> Mothers who received postnatal care from a doctor/nurse/LHV/ANM/midwife/otherhealth personnel within 2 days of delivery (%)</c:v>
                </c:pt>
              </c:strCache>
            </c:strRef>
          </c:tx>
          <c:invertIfNegative val="0"/>
          <c:dPt>
            <c:idx val="1"/>
            <c:invertIfNegative val="0"/>
            <c:bubble3D val="0"/>
            <c:spPr>
              <a:solidFill>
                <a:srgbClr val="00B0F0"/>
              </a:solidFill>
            </c:spPr>
          </c:dPt>
          <c:dPt>
            <c:idx val="3"/>
            <c:invertIfNegative val="0"/>
            <c:bubble3D val="0"/>
            <c:spPr>
              <a:solidFill>
                <a:srgbClr val="00B0F0"/>
              </a:solidFill>
            </c:spPr>
          </c:dPt>
          <c:dPt>
            <c:idx val="5"/>
            <c:invertIfNegative val="0"/>
            <c:bubble3D val="0"/>
            <c:spPr>
              <a:solidFill>
                <a:srgbClr val="00B0F0"/>
              </a:solidFill>
            </c:spPr>
          </c:dPt>
          <c:dLbls>
            <c:txPr>
              <a:bodyPr/>
              <a:lstStyle/>
              <a:p>
                <a:pPr>
                  <a:defRPr b="1"/>
                </a:pPr>
                <a:endParaRPr lang="en-US"/>
              </a:p>
            </c:txPr>
            <c:showLegendKey val="0"/>
            <c:showVal val="1"/>
            <c:showCatName val="0"/>
            <c:showSerName val="0"/>
            <c:showPercent val="0"/>
            <c:showBubbleSize val="0"/>
            <c:showLeaderLines val="0"/>
          </c:dLbls>
          <c:cat>
            <c:multiLvlStrRef>
              <c:f>Sheet4!$O$23:$T$24</c:f>
              <c:multiLvlStrCache>
                <c:ptCount val="6"/>
                <c:lvl>
                  <c:pt idx="0">
                    <c:v>NFHS IV (2015-16)</c:v>
                  </c:pt>
                  <c:pt idx="1">
                    <c:v>NFHS III(2005-06)</c:v>
                  </c:pt>
                  <c:pt idx="2">
                    <c:v>NFHS IV (2015-16)</c:v>
                  </c:pt>
                  <c:pt idx="3">
                    <c:v>NFHS III(2005-06)</c:v>
                  </c:pt>
                  <c:pt idx="4">
                    <c:v>NFHS IV (2015-16)</c:v>
                  </c:pt>
                  <c:pt idx="5">
                    <c:v>NFHS III(2005-06)</c:v>
                  </c:pt>
                </c:lvl>
                <c:lvl>
                  <c:pt idx="0">
                    <c:v>Bihar</c:v>
                  </c:pt>
                  <c:pt idx="2">
                    <c:v>Madhya Pradesh</c:v>
                  </c:pt>
                  <c:pt idx="4">
                    <c:v>Uttarakhand</c:v>
                  </c:pt>
                </c:lvl>
              </c:multiLvlStrCache>
            </c:multiLvlStrRef>
          </c:cat>
          <c:val>
            <c:numRef>
              <c:f>Sheet4!$O$25:$T$25</c:f>
              <c:numCache>
                <c:formatCode>_(* #,##0.0_);_(* \(#,##0.0\);_(* "-"??_);_(@_)</c:formatCode>
                <c:ptCount val="6"/>
                <c:pt idx="0">
                  <c:v>42.3</c:v>
                </c:pt>
                <c:pt idx="1">
                  <c:v>13.4</c:v>
                </c:pt>
                <c:pt idx="2">
                  <c:v>55</c:v>
                </c:pt>
                <c:pt idx="3">
                  <c:v>24.9</c:v>
                </c:pt>
                <c:pt idx="4">
                  <c:v>54.8</c:v>
                </c:pt>
                <c:pt idx="5">
                  <c:v>27.7</c:v>
                </c:pt>
              </c:numCache>
            </c:numRef>
          </c:val>
        </c:ser>
        <c:dLbls>
          <c:showLegendKey val="0"/>
          <c:showVal val="0"/>
          <c:showCatName val="0"/>
          <c:showSerName val="0"/>
          <c:showPercent val="0"/>
          <c:showBubbleSize val="0"/>
        </c:dLbls>
        <c:gapWidth val="150"/>
        <c:axId val="192873600"/>
        <c:axId val="192875136"/>
      </c:barChart>
      <c:catAx>
        <c:axId val="192873600"/>
        <c:scaling>
          <c:orientation val="minMax"/>
        </c:scaling>
        <c:delete val="0"/>
        <c:axPos val="b"/>
        <c:majorTickMark val="out"/>
        <c:minorTickMark val="none"/>
        <c:tickLblPos val="nextTo"/>
        <c:txPr>
          <a:bodyPr/>
          <a:lstStyle/>
          <a:p>
            <a:pPr>
              <a:defRPr b="1"/>
            </a:pPr>
            <a:endParaRPr lang="en-US"/>
          </a:p>
        </c:txPr>
        <c:crossAx val="192875136"/>
        <c:crosses val="autoZero"/>
        <c:auto val="1"/>
        <c:lblAlgn val="ctr"/>
        <c:lblOffset val="100"/>
        <c:noMultiLvlLbl val="0"/>
      </c:catAx>
      <c:valAx>
        <c:axId val="192875136"/>
        <c:scaling>
          <c:orientation val="minMax"/>
        </c:scaling>
        <c:delete val="0"/>
        <c:axPos val="l"/>
        <c:numFmt formatCode="_(* #,##0.0_);_(* \(#,##0.0\);_(* &quot;-&quot;??_);_(@_)" sourceLinked="1"/>
        <c:majorTickMark val="out"/>
        <c:minorTickMark val="none"/>
        <c:tickLblPos val="nextTo"/>
        <c:crossAx val="19287360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xPr>
        <a:bodyPr/>
        <a:lstStyle/>
        <a:p>
          <a:pPr>
            <a:defRPr sz="1600"/>
          </a:pPr>
          <a:endParaRPr lang="en-US"/>
        </a:p>
      </c:txPr>
    </c:title>
    <c:autoTitleDeleted val="0"/>
    <c:plotArea>
      <c:layout/>
      <c:barChart>
        <c:barDir val="col"/>
        <c:grouping val="clustered"/>
        <c:varyColors val="0"/>
        <c:ser>
          <c:idx val="0"/>
          <c:order val="0"/>
          <c:tx>
            <c:strRef>
              <c:f>Sheet4!$N$30</c:f>
              <c:strCache>
                <c:ptCount val="1"/>
                <c:pt idx="0">
                  <c:v> Average out of pocket expenditure per delivery in public health facility (Rs.)-NFHS IV </c:v>
                </c:pt>
              </c:strCache>
            </c:strRef>
          </c:tx>
          <c:spPr>
            <a:solidFill>
              <a:schemeClr val="accent2"/>
            </a:solidFill>
          </c:spPr>
          <c:invertIfNegative val="0"/>
          <c:dLbls>
            <c:txPr>
              <a:bodyPr/>
              <a:lstStyle/>
              <a:p>
                <a:pPr>
                  <a:defRPr b="1"/>
                </a:pPr>
                <a:endParaRPr lang="en-US"/>
              </a:p>
            </c:txPr>
            <c:showLegendKey val="0"/>
            <c:showVal val="1"/>
            <c:showCatName val="0"/>
            <c:showSerName val="0"/>
            <c:showPercent val="0"/>
            <c:showBubbleSize val="0"/>
            <c:showLeaderLines val="0"/>
          </c:dLbls>
          <c:cat>
            <c:strRef>
              <c:f>Sheet4!$O$29:$Q$29</c:f>
              <c:strCache>
                <c:ptCount val="3"/>
                <c:pt idx="0">
                  <c:v>Bihar</c:v>
                </c:pt>
                <c:pt idx="1">
                  <c:v>Madhya Pradesh</c:v>
                </c:pt>
                <c:pt idx="2">
                  <c:v>Uttarakhand</c:v>
                </c:pt>
              </c:strCache>
            </c:strRef>
          </c:cat>
          <c:val>
            <c:numRef>
              <c:f>Sheet4!$O$30:$Q$30</c:f>
              <c:numCache>
                <c:formatCode>_(* #,##0.0_);_(* \(#,##0.0\);_(* "-"??_);_(@_)</c:formatCode>
                <c:ptCount val="3"/>
                <c:pt idx="0">
                  <c:v>1724</c:v>
                </c:pt>
                <c:pt idx="1">
                  <c:v>1387</c:v>
                </c:pt>
                <c:pt idx="2">
                  <c:v>2399</c:v>
                </c:pt>
              </c:numCache>
            </c:numRef>
          </c:val>
        </c:ser>
        <c:dLbls>
          <c:showLegendKey val="0"/>
          <c:showVal val="0"/>
          <c:showCatName val="0"/>
          <c:showSerName val="0"/>
          <c:showPercent val="0"/>
          <c:showBubbleSize val="0"/>
        </c:dLbls>
        <c:gapWidth val="150"/>
        <c:axId val="192883328"/>
        <c:axId val="192885120"/>
      </c:barChart>
      <c:catAx>
        <c:axId val="192883328"/>
        <c:scaling>
          <c:orientation val="minMax"/>
        </c:scaling>
        <c:delete val="0"/>
        <c:axPos val="b"/>
        <c:majorTickMark val="out"/>
        <c:minorTickMark val="none"/>
        <c:tickLblPos val="nextTo"/>
        <c:txPr>
          <a:bodyPr/>
          <a:lstStyle/>
          <a:p>
            <a:pPr>
              <a:defRPr b="1"/>
            </a:pPr>
            <a:endParaRPr lang="en-US"/>
          </a:p>
        </c:txPr>
        <c:crossAx val="192885120"/>
        <c:crosses val="autoZero"/>
        <c:auto val="1"/>
        <c:lblAlgn val="ctr"/>
        <c:lblOffset val="100"/>
        <c:noMultiLvlLbl val="0"/>
      </c:catAx>
      <c:valAx>
        <c:axId val="192885120"/>
        <c:scaling>
          <c:orientation val="minMax"/>
        </c:scaling>
        <c:delete val="0"/>
        <c:axPos val="l"/>
        <c:numFmt formatCode="_(* #,##0.0_);_(* \(#,##0.0\);_(* &quot;-&quot;??_);_(@_)" sourceLinked="1"/>
        <c:majorTickMark val="out"/>
        <c:minorTickMark val="none"/>
        <c:tickLblPos val="nextTo"/>
        <c:crossAx val="1928833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2016-02-15T00:00:00</PublishDate>
  <Abstract>Analysis – High Focus States ( Bihar, Madhya Pradesh &amp; Uttarakhand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NFHS IV</vt:lpstr>
    </vt:vector>
  </TitlesOfParts>
  <Company>NHSRC</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NFHS IV</dc:title>
  <dc:creator>Dr Sandhya Ahuja</dc:creator>
  <cp:lastModifiedBy>Microsoft</cp:lastModifiedBy>
  <cp:revision>11</cp:revision>
  <cp:lastPrinted>2016-03-18T07:00:00Z</cp:lastPrinted>
  <dcterms:created xsi:type="dcterms:W3CDTF">2016-03-18T05:55:00Z</dcterms:created>
  <dcterms:modified xsi:type="dcterms:W3CDTF">2016-03-18T07:19:00Z</dcterms:modified>
</cp:coreProperties>
</file>