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5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C04920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AD186E4D5E244B69B75D7AF48AAE286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4920" w:rsidRDefault="00C04920" w:rsidP="00C0492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C0492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B3A5F369A766423EA7213368DA2EB80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04920" w:rsidRDefault="00C04920" w:rsidP="00C0492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Bihar-Buxar</w:t>
                    </w:r>
                  </w:p>
                </w:sdtContent>
              </w:sdt>
            </w:tc>
          </w:tr>
          <w:tr w:rsidR="00C0492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504402090E041C8997151459843B2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4920" w:rsidRDefault="006F4145" w:rsidP="006F414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C04920" w:rsidRDefault="00C04920"/>
        <w:p w:rsidR="00C04920" w:rsidRDefault="00C0492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C0492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04920" w:rsidRDefault="00C0492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04920" w:rsidRDefault="006F414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C04920" w:rsidRDefault="00C0492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04920" w:rsidRDefault="00C04920"/>
        <w:p w:rsidR="00C04920" w:rsidRDefault="00C04920">
          <w:r>
            <w:br w:type="page"/>
          </w:r>
        </w:p>
      </w:sdtContent>
    </w:sdt>
    <w:p w:rsidR="00C04920" w:rsidRDefault="00C04920"/>
    <w:tbl>
      <w:tblPr>
        <w:tblW w:w="5304" w:type="pct"/>
        <w:tblLook w:val="04A0"/>
      </w:tblPr>
      <w:tblGrid>
        <w:gridCol w:w="3056"/>
        <w:gridCol w:w="2031"/>
        <w:gridCol w:w="2680"/>
        <w:gridCol w:w="2037"/>
      </w:tblGrid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Bihar-Buxar-  Summary-Apr'09 to Mar'10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145">
              <w:rPr>
                <w:rFonts w:ascii="Calibri" w:eastAsia="Times New Roman" w:hAnsi="Calibri" w:cs="Arial"/>
                <w:color w:val="000000"/>
                <w:highlight w:val="black"/>
              </w:rPr>
              <w:t>477%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6F4145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F4145">
              <w:rPr>
                <w:rFonts w:ascii="Calibri" w:eastAsia="Times New Roman" w:hAnsi="Calibri" w:cs="Arial"/>
                <w:highlight w:val="black"/>
              </w:rPr>
              <w:t>115%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145">
              <w:rPr>
                <w:rFonts w:ascii="Calibri" w:eastAsia="Times New Roman" w:hAnsi="Calibri" w:cs="Arial"/>
                <w:color w:val="000000"/>
                <w:highlight w:val="black"/>
              </w:rPr>
              <w:t>1118%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84.2%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14.5%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8.3%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91.7%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123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939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6,695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D6654" w:rsidRPr="002D6654" w:rsidTr="002D665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1,33,263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 389 </w:t>
            </w:r>
          </w:p>
        </w:tc>
      </w:tr>
      <w:tr w:rsidR="002D6654" w:rsidRPr="002D6654" w:rsidTr="00C04920">
        <w:trPr>
          <w:trHeight w:val="20"/>
        </w:trPr>
        <w:tc>
          <w:tcPr>
            <w:tcW w:w="1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1,569 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 482 </w:t>
            </w:r>
          </w:p>
        </w:tc>
      </w:tr>
    </w:tbl>
    <w:p w:rsidR="001D414C" w:rsidRDefault="001D414C"/>
    <w:p w:rsidR="002D6654" w:rsidRDefault="002D6654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2D6654" w:rsidRPr="002D6654" w:rsidTr="002D6654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Bihar-Buxar- Deliveries Apr'09 to Mar'10</w:t>
            </w:r>
          </w:p>
        </w:tc>
      </w:tr>
      <w:tr w:rsidR="002D6654" w:rsidRPr="002D6654" w:rsidTr="002D6654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16,13,480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48,900 </w:t>
            </w:r>
          </w:p>
        </w:tc>
      </w:tr>
      <w:tr w:rsidR="002D6654" w:rsidRPr="002D6654" w:rsidTr="002D6654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D6654" w:rsidRPr="002D6654" w:rsidTr="002D6654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   379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258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7,084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7,721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41,179 </w:t>
            </w:r>
          </w:p>
        </w:tc>
      </w:tr>
      <w:tr w:rsidR="002D6654" w:rsidRPr="002D6654" w:rsidTr="002D6654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D6654" w:rsidRPr="002D6654" w:rsidTr="002D6654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2D6654" w:rsidRDefault="002D6654"/>
    <w:p w:rsidR="002D6654" w:rsidRDefault="002D6654">
      <w:r w:rsidRPr="002D6654">
        <w:rPr>
          <w:noProof/>
          <w:lang w:val="en-US" w:eastAsia="en-US"/>
        </w:rPr>
        <w:drawing>
          <wp:inline distT="0" distB="0" distL="0" distR="0">
            <wp:extent cx="5731510" cy="3381375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654" w:rsidRDefault="002D6654">
      <w:r w:rsidRPr="002D6654">
        <w:rPr>
          <w:noProof/>
          <w:lang w:val="en-US" w:eastAsia="en-US"/>
        </w:rPr>
        <w:drawing>
          <wp:inline distT="0" distB="0" distL="0" distR="0">
            <wp:extent cx="5731510" cy="3552825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3272"/>
        <w:gridCol w:w="2963"/>
        <w:gridCol w:w="3007"/>
      </w:tblGrid>
      <w:tr w:rsidR="002D6654" w:rsidRPr="002D6654" w:rsidTr="002D6654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Bihar-Buxar- C sections &amp; Complicated Deliveries Apr'09 to Mar'10</w:t>
            </w:r>
          </w:p>
        </w:tc>
      </w:tr>
      <w:tr w:rsidR="002D6654" w:rsidRPr="002D6654" w:rsidTr="002D6654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6654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D6654" w:rsidRPr="002D6654" w:rsidTr="00077348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7,084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D6654" w:rsidRPr="002D6654" w:rsidTr="0007734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841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</w:tr>
      <w:tr w:rsidR="002D6654" w:rsidRPr="002D6654" w:rsidTr="0007734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D6654" w:rsidRPr="002D6654" w:rsidTr="0007734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D6654" w:rsidRPr="002D6654" w:rsidTr="0007734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0773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2D6654" w:rsidRDefault="002D6654"/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42957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2D6654" w:rsidRPr="002D6654" w:rsidTr="002D6654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665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Bihar-Buxar- Complicated Pregnancies &amp; Deliveries Treated - Apr'09 to Mar'10</w:t>
            </w:r>
          </w:p>
        </w:tc>
      </w:tr>
      <w:tr w:rsidR="002D6654" w:rsidRPr="002D6654" w:rsidTr="002D6654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2D6654" w:rsidRPr="002D6654" w:rsidTr="002D6654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7,721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665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10,428 </w:t>
            </w:r>
          </w:p>
        </w:tc>
      </w:tr>
      <w:tr w:rsidR="002D6654" w:rsidRPr="002D6654" w:rsidTr="002D6654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D6654" w:rsidRPr="002D6654" w:rsidTr="002D6654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D6654" w:rsidRPr="002D6654" w:rsidTr="002D665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9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856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769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D665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123 </w:t>
            </w:r>
          </w:p>
        </w:tc>
      </w:tr>
      <w:tr w:rsidR="002D6654" w:rsidRPr="002D6654" w:rsidTr="002D6654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6654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6654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6654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D6654" w:rsidRPr="002D6654" w:rsidTr="002D665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6654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6654" w:rsidRPr="002D6654" w:rsidTr="002D6654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654" w:rsidRPr="002D6654" w:rsidRDefault="002D6654" w:rsidP="002D66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D665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1,320 </w:t>
            </w:r>
          </w:p>
        </w:tc>
      </w:tr>
    </w:tbl>
    <w:p w:rsidR="002D6654" w:rsidRDefault="002D6654"/>
    <w:p w:rsidR="002D6654" w:rsidRDefault="002D6654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9591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271018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27622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654" w:rsidRDefault="002D6654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1337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26670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26193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6654" w:rsidRDefault="002D6654"/>
    <w:p w:rsidR="002D6654" w:rsidRDefault="002D6654">
      <w:r>
        <w:rPr>
          <w:noProof/>
          <w:lang w:val="en-US" w:eastAsia="en-US"/>
        </w:rPr>
        <w:drawing>
          <wp:inline distT="0" distB="0" distL="0" distR="0">
            <wp:extent cx="5943600" cy="32194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4723A5" w:rsidRPr="004723A5" w:rsidTr="004723A5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2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Bihar-Buxar - Births - Apr'09 to Mar'10</w:t>
            </w:r>
          </w:p>
        </w:tc>
      </w:tr>
      <w:tr w:rsidR="004723A5" w:rsidRPr="004723A5" w:rsidTr="004723A5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3A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723A5" w:rsidRPr="004723A5" w:rsidTr="004723A5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6,526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6,127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12,653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939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123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3A5" w:rsidRPr="004723A5" w:rsidRDefault="004723A5" w:rsidP="0047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3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10 </w:t>
            </w:r>
          </w:p>
        </w:tc>
      </w:tr>
    </w:tbl>
    <w:p w:rsidR="000C6488" w:rsidRDefault="000C6488"/>
    <w:p w:rsidR="004723A5" w:rsidRDefault="004723A5">
      <w:r>
        <w:rPr>
          <w:noProof/>
          <w:lang w:val="en-US" w:eastAsia="en-US"/>
        </w:rPr>
        <w:drawing>
          <wp:inline distT="0" distB="0" distL="0" distR="0">
            <wp:extent cx="5943600" cy="33242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23A5" w:rsidRDefault="004723A5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5147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301BDA" w:rsidRPr="00301BDA" w:rsidTr="00301BD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Bihar-Buxar- Apr'09 to Mar'10</w:t>
            </w:r>
          </w:p>
        </w:tc>
      </w:tr>
      <w:tr w:rsidR="00301BDA" w:rsidRPr="00301BDA" w:rsidTr="00301B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301BDA" w:rsidRPr="00301BDA" w:rsidTr="00301B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0.1%</w:t>
            </w:r>
          </w:p>
        </w:tc>
      </w:tr>
    </w:tbl>
    <w:p w:rsidR="004723A5" w:rsidRDefault="004723A5"/>
    <w:p w:rsidR="004723A5" w:rsidRDefault="004723A5">
      <w:r w:rsidRPr="004723A5">
        <w:rPr>
          <w:noProof/>
          <w:lang w:val="en-US" w:eastAsia="en-US"/>
        </w:rPr>
        <w:drawing>
          <wp:inline distT="0" distB="0" distL="0" distR="0">
            <wp:extent cx="5731510" cy="3190875"/>
            <wp:effectExtent l="19050" t="0" r="21590" b="0"/>
            <wp:docPr id="17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1042E" w:rsidRDefault="0051042E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301BDA" w:rsidRPr="00301BDA" w:rsidTr="00301BD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Bihar-Buxar- Apr'09 to Mar'10</w:t>
            </w:r>
          </w:p>
        </w:tc>
      </w:tr>
      <w:tr w:rsidR="00301BDA" w:rsidRPr="00301BDA" w:rsidTr="00301BD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301BDA" w:rsidRPr="00301BDA" w:rsidTr="00B06FD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1,33,263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DA" w:rsidRPr="00301BDA" w:rsidRDefault="00301BDA" w:rsidP="0030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B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1,170 </w:t>
            </w:r>
          </w:p>
        </w:tc>
      </w:tr>
    </w:tbl>
    <w:p w:rsidR="00077348" w:rsidRDefault="00077348"/>
    <w:p w:rsidR="0051042E" w:rsidRDefault="0051042E"/>
    <w:p w:rsidR="00301BDA" w:rsidRDefault="00B06FD2">
      <w:r w:rsidRPr="00B06FD2">
        <w:rPr>
          <w:noProof/>
          <w:lang w:val="en-US" w:eastAsia="en-US"/>
        </w:rPr>
        <w:drawing>
          <wp:inline distT="0" distB="0" distL="0" distR="0">
            <wp:extent cx="5731510" cy="2938624"/>
            <wp:effectExtent l="19050" t="0" r="2159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77348" w:rsidRDefault="00077348"/>
    <w:p w:rsidR="00077348" w:rsidRDefault="00077348"/>
    <w:p w:rsidR="00077348" w:rsidRDefault="00077348"/>
    <w:tbl>
      <w:tblPr>
        <w:tblW w:w="5000" w:type="pct"/>
        <w:tblLook w:val="04A0"/>
      </w:tblPr>
      <w:tblGrid>
        <w:gridCol w:w="3244"/>
        <w:gridCol w:w="2843"/>
        <w:gridCol w:w="3155"/>
      </w:tblGrid>
      <w:tr w:rsidR="00B06FD2" w:rsidRPr="00B06FD2" w:rsidTr="00B06FD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Bihar-Buxar-Sterilisations - Apr'09 to Mar'10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4,833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2,926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   151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1,681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      75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2,926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1,907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</w:tbl>
    <w:p w:rsidR="00B06FD2" w:rsidRDefault="00B06FD2"/>
    <w:tbl>
      <w:tblPr>
        <w:tblW w:w="5000" w:type="pct"/>
        <w:tblLook w:val="04A0"/>
      </w:tblPr>
      <w:tblGrid>
        <w:gridCol w:w="3244"/>
        <w:gridCol w:w="2843"/>
        <w:gridCol w:w="3155"/>
      </w:tblGrid>
      <w:tr w:rsidR="00B06FD2" w:rsidRPr="00B06FD2" w:rsidTr="00B06FD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Bihar-Buxar-FP Methods - Apr'09 to Mar'10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6,695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4,833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lastRenderedPageBreak/>
              <w:t>IUD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1,047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   399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   416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4,833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B06FD2" w:rsidRPr="00B06FD2" w:rsidTr="00B06FD2">
        <w:trPr>
          <w:trHeight w:val="20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F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1,862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</w:tbl>
    <w:p w:rsidR="00B06FD2" w:rsidRDefault="00B06FD2"/>
    <w:tbl>
      <w:tblPr>
        <w:tblW w:w="9278" w:type="dxa"/>
        <w:tblInd w:w="98" w:type="dxa"/>
        <w:tblLook w:val="04A0"/>
      </w:tblPr>
      <w:tblGrid>
        <w:gridCol w:w="1460"/>
        <w:gridCol w:w="1677"/>
        <w:gridCol w:w="990"/>
        <w:gridCol w:w="1334"/>
        <w:gridCol w:w="1311"/>
        <w:gridCol w:w="1582"/>
        <w:gridCol w:w="924"/>
      </w:tblGrid>
      <w:tr w:rsidR="00B06FD2" w:rsidRPr="00B06FD2" w:rsidTr="00077348">
        <w:trPr>
          <w:trHeight w:val="393"/>
        </w:trPr>
        <w:tc>
          <w:tcPr>
            <w:tcW w:w="92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6FD2">
              <w:rPr>
                <w:rFonts w:ascii="Arial" w:eastAsia="Times New Roman" w:hAnsi="Arial" w:cs="Arial"/>
                <w:b/>
                <w:bCs/>
              </w:rPr>
              <w:t>Bihar-Buxar- Service Delivery - Apr'09 to Mar'10</w:t>
            </w:r>
          </w:p>
        </w:tc>
      </w:tr>
      <w:tr w:rsidR="00B06FD2" w:rsidRPr="00B06FD2" w:rsidTr="00077348">
        <w:trPr>
          <w:trHeight w:val="85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06F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06F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06FD2" w:rsidRPr="00B06FD2" w:rsidTr="00077348">
        <w:trPr>
          <w:trHeight w:val="4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389 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482 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 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547 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 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1,33,263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1,569 </w:t>
            </w:r>
          </w:p>
        </w:tc>
      </w:tr>
      <w:tr w:rsidR="00B06FD2" w:rsidRPr="00B06FD2" w:rsidTr="00077348">
        <w:trPr>
          <w:trHeight w:val="87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06FD2" w:rsidRPr="00B06FD2" w:rsidTr="00077348">
        <w:trPr>
          <w:trHeight w:val="67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06FD2" w:rsidRDefault="00B06FD2"/>
    <w:tbl>
      <w:tblPr>
        <w:tblW w:w="9441" w:type="dxa"/>
        <w:tblInd w:w="98" w:type="dxa"/>
        <w:tblLook w:val="04A0"/>
      </w:tblPr>
      <w:tblGrid>
        <w:gridCol w:w="2119"/>
        <w:gridCol w:w="1862"/>
        <w:gridCol w:w="1746"/>
        <w:gridCol w:w="2015"/>
        <w:gridCol w:w="1699"/>
      </w:tblGrid>
      <w:tr w:rsidR="00B06FD2" w:rsidRPr="00B06FD2" w:rsidTr="00077348">
        <w:trPr>
          <w:trHeight w:val="563"/>
        </w:trPr>
        <w:tc>
          <w:tcPr>
            <w:tcW w:w="9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Bihar-Buxar- Lab Services - Apr'09 to Mar'10</w:t>
            </w:r>
          </w:p>
        </w:tc>
      </w:tr>
      <w:tr w:rsidR="00B06FD2" w:rsidRPr="00B06FD2" w:rsidTr="00077348">
        <w:trPr>
          <w:trHeight w:val="39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06FD2" w:rsidRPr="00B06FD2" w:rsidTr="00077348">
        <w:trPr>
          <w:trHeight w:val="39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1,33,263 </w:t>
            </w:r>
          </w:p>
        </w:tc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      737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    2,526 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 xml:space="preserve">         16,13,480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06FD2" w:rsidRPr="00B06FD2" w:rsidTr="00077348">
        <w:trPr>
          <w:trHeight w:val="75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06FD2" w:rsidRPr="00B06FD2" w:rsidTr="00077348">
        <w:trPr>
          <w:trHeight w:val="39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27.0%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B06FD2" w:rsidRDefault="00B06FD2"/>
    <w:tbl>
      <w:tblPr>
        <w:tblW w:w="9276" w:type="dxa"/>
        <w:tblInd w:w="98" w:type="dxa"/>
        <w:tblLook w:val="04A0"/>
      </w:tblPr>
      <w:tblGrid>
        <w:gridCol w:w="1800"/>
        <w:gridCol w:w="1581"/>
        <w:gridCol w:w="1470"/>
        <w:gridCol w:w="1702"/>
        <w:gridCol w:w="1312"/>
        <w:gridCol w:w="1411"/>
      </w:tblGrid>
      <w:tr w:rsidR="00B06FD2" w:rsidRPr="00B06FD2" w:rsidTr="00077348">
        <w:trPr>
          <w:trHeight w:val="684"/>
        </w:trPr>
        <w:tc>
          <w:tcPr>
            <w:tcW w:w="9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Bihar-Buxar- Childhood Disease - Vaccine Preventable -Apr'09 to Mar'10</w:t>
            </w:r>
          </w:p>
        </w:tc>
      </w:tr>
      <w:tr w:rsidR="00B06FD2" w:rsidRPr="00B06FD2" w:rsidTr="00077348">
        <w:trPr>
          <w:trHeight w:val="48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06FD2" w:rsidRPr="00B06FD2" w:rsidTr="00077348">
        <w:trPr>
          <w:trHeight w:val="48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6FD2" w:rsidRPr="00B06FD2" w:rsidTr="00077348">
        <w:trPr>
          <w:trHeight w:val="792"/>
        </w:trPr>
        <w:tc>
          <w:tcPr>
            <w:tcW w:w="485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6FD2">
              <w:rPr>
                <w:rFonts w:ascii="Arial" w:eastAsia="Times New Roman" w:hAnsi="Arial" w:cs="Arial"/>
                <w:b/>
                <w:bCs/>
              </w:rPr>
              <w:t xml:space="preserve"> Bihar-Buxar-Childhood Disease - Others - Apr'09 to Mar'10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06FD2" w:rsidRPr="00B06FD2" w:rsidTr="00077348">
        <w:trPr>
          <w:trHeight w:val="48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06FD2" w:rsidRPr="00B06FD2" w:rsidTr="00077348">
        <w:trPr>
          <w:trHeight w:val="48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37 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F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06FD2" w:rsidRDefault="00B06FD2"/>
    <w:tbl>
      <w:tblPr>
        <w:tblW w:w="9246" w:type="dxa"/>
        <w:tblInd w:w="98" w:type="dxa"/>
        <w:tblLook w:val="04A0"/>
      </w:tblPr>
      <w:tblGrid>
        <w:gridCol w:w="1796"/>
        <w:gridCol w:w="1577"/>
        <w:gridCol w:w="1456"/>
        <w:gridCol w:w="1699"/>
        <w:gridCol w:w="1310"/>
        <w:gridCol w:w="1408"/>
      </w:tblGrid>
      <w:tr w:rsidR="00B06FD2" w:rsidRPr="00B06FD2" w:rsidTr="00077348">
        <w:trPr>
          <w:trHeight w:val="829"/>
        </w:trPr>
        <w:tc>
          <w:tcPr>
            <w:tcW w:w="92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6F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Bihar-Buxar- Infant &amp; Child Deaths - Apr'09 to Mar'10</w:t>
            </w:r>
          </w:p>
        </w:tc>
      </w:tr>
      <w:tr w:rsidR="00B06FD2" w:rsidRPr="00B06FD2" w:rsidTr="00077348">
        <w:trPr>
          <w:trHeight w:val="514"/>
        </w:trPr>
        <w:tc>
          <w:tcPr>
            <w:tcW w:w="1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FD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06FD2" w:rsidRPr="00B06FD2" w:rsidTr="00077348">
        <w:trPr>
          <w:trHeight w:val="51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D2" w:rsidRPr="00B06FD2" w:rsidRDefault="00B06FD2" w:rsidP="00B06F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F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B06FD2" w:rsidRDefault="00B06FD2"/>
    <w:tbl>
      <w:tblPr>
        <w:tblStyle w:val="TableGrid"/>
        <w:tblW w:w="9678" w:type="dxa"/>
        <w:tblLook w:val="04A0"/>
      </w:tblPr>
      <w:tblGrid>
        <w:gridCol w:w="1253"/>
        <w:gridCol w:w="1179"/>
        <w:gridCol w:w="922"/>
        <w:gridCol w:w="1220"/>
        <w:gridCol w:w="1087"/>
        <w:gridCol w:w="905"/>
        <w:gridCol w:w="1120"/>
        <w:gridCol w:w="1079"/>
        <w:gridCol w:w="913"/>
      </w:tblGrid>
      <w:tr w:rsidR="00B06FD2" w:rsidRPr="00B06FD2" w:rsidTr="00077348">
        <w:trPr>
          <w:trHeight w:val="359"/>
        </w:trPr>
        <w:tc>
          <w:tcPr>
            <w:tcW w:w="9678" w:type="dxa"/>
            <w:gridSpan w:val="9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Bihar-Buxar- Causes of Infant &amp; Child Deaths - Apr'09 to Mar'10</w:t>
            </w:r>
          </w:p>
        </w:tc>
      </w:tr>
      <w:tr w:rsidR="00B06FD2" w:rsidRPr="00B06FD2" w:rsidTr="00077348">
        <w:trPr>
          <w:trHeight w:val="359"/>
        </w:trPr>
        <w:tc>
          <w:tcPr>
            <w:tcW w:w="3354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Sepsis</w:t>
            </w:r>
          </w:p>
        </w:tc>
        <w:tc>
          <w:tcPr>
            <w:tcW w:w="32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Asphyxia</w:t>
            </w:r>
          </w:p>
        </w:tc>
        <w:tc>
          <w:tcPr>
            <w:tcW w:w="31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LBW</w:t>
            </w:r>
          </w:p>
        </w:tc>
      </w:tr>
      <w:tr w:rsidR="00B06FD2" w:rsidRPr="00B06FD2" w:rsidTr="00077348">
        <w:trPr>
          <w:trHeight w:val="43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Up to 1 Weeks of Birth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Between 1 week &amp; 4 weeks of birth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Up to 1 Weeks of Birth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Between 1 week &amp; 4 weeks of birth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Up to 1 Weeks of Birth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Between 1 week &amp; 4 weeks of birth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077348">
        <w:trPr>
          <w:trHeight w:val="35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077348">
        <w:trPr>
          <w:trHeight w:val="359"/>
        </w:trPr>
        <w:tc>
          <w:tcPr>
            <w:tcW w:w="3354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Pneumonia</w:t>
            </w:r>
          </w:p>
        </w:tc>
        <w:tc>
          <w:tcPr>
            <w:tcW w:w="32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Diarrhoea</w:t>
            </w:r>
          </w:p>
        </w:tc>
        <w:tc>
          <w:tcPr>
            <w:tcW w:w="31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Fever related</w:t>
            </w:r>
          </w:p>
        </w:tc>
      </w:tr>
      <w:tr w:rsidR="00B06FD2" w:rsidRPr="00B06FD2" w:rsidTr="00077348">
        <w:trPr>
          <w:trHeight w:val="49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Between 1 month and 11 months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Between 1 year &amp; 5 years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Between 1 month and 11 months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Between 1 year &amp; 5 years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Between 1 month and 11 months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Between 1 year &amp; 5 years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077348">
        <w:trPr>
          <w:trHeight w:val="35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077348">
        <w:trPr>
          <w:trHeight w:val="359"/>
        </w:trPr>
        <w:tc>
          <w:tcPr>
            <w:tcW w:w="3354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Others</w:t>
            </w:r>
          </w:p>
        </w:tc>
        <w:tc>
          <w:tcPr>
            <w:tcW w:w="32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Measles</w:t>
            </w:r>
          </w:p>
        </w:tc>
        <w:tc>
          <w:tcPr>
            <w:tcW w:w="3112" w:type="dxa"/>
            <w:gridSpan w:val="3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Others</w:t>
            </w:r>
          </w:p>
        </w:tc>
      </w:tr>
      <w:tr w:rsidR="00B06FD2" w:rsidRPr="00B06FD2" w:rsidTr="00077348">
        <w:trPr>
          <w:trHeight w:val="50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Up to 1 Weeks of Birth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Between 1 week &amp; 4 weeks of birth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Between 1 month and 11 months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Between 1 year &amp; 5 years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Between 1 month and 11 months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Between 1 year &amp; 5 years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077348">
        <w:trPr>
          <w:trHeight w:val="359"/>
        </w:trPr>
        <w:tc>
          <w:tcPr>
            <w:tcW w:w="125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21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2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87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05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7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1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</w:tbl>
    <w:p w:rsidR="00B06FD2" w:rsidRDefault="00B06FD2"/>
    <w:tbl>
      <w:tblPr>
        <w:tblStyle w:val="TableGrid"/>
        <w:tblW w:w="0" w:type="auto"/>
        <w:tblLook w:val="04A0"/>
      </w:tblPr>
      <w:tblGrid>
        <w:gridCol w:w="1099"/>
        <w:gridCol w:w="1012"/>
        <w:gridCol w:w="1133"/>
        <w:gridCol w:w="917"/>
        <w:gridCol w:w="1138"/>
        <w:gridCol w:w="1074"/>
        <w:gridCol w:w="1010"/>
        <w:gridCol w:w="924"/>
        <w:gridCol w:w="935"/>
      </w:tblGrid>
      <w:tr w:rsidR="00B06FD2" w:rsidRPr="00B06FD2" w:rsidTr="00077348">
        <w:trPr>
          <w:trHeight w:val="540"/>
        </w:trPr>
        <w:tc>
          <w:tcPr>
            <w:tcW w:w="9242" w:type="dxa"/>
            <w:gridSpan w:val="9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t>Bihar-Buxar- Maternal Deaths &amp; Causes - Apr'09 to Mar'10</w:t>
            </w:r>
          </w:p>
        </w:tc>
      </w:tr>
      <w:tr w:rsidR="00B06FD2" w:rsidRPr="00B06FD2" w:rsidTr="00077348">
        <w:trPr>
          <w:trHeight w:val="540"/>
        </w:trPr>
        <w:tc>
          <w:tcPr>
            <w:tcW w:w="3244" w:type="dxa"/>
            <w:gridSpan w:val="3"/>
            <w:hideMark/>
          </w:tcPr>
          <w:p w:rsidR="00B06FD2" w:rsidRPr="00B06FD2" w:rsidRDefault="00B06FD2" w:rsidP="00B06FD2">
            <w:r w:rsidRPr="00B06FD2">
              <w:t>Abortion</w:t>
            </w:r>
          </w:p>
        </w:tc>
        <w:tc>
          <w:tcPr>
            <w:tcW w:w="3129" w:type="dxa"/>
            <w:gridSpan w:val="3"/>
            <w:hideMark/>
          </w:tcPr>
          <w:p w:rsidR="00B06FD2" w:rsidRPr="00B06FD2" w:rsidRDefault="00B06FD2" w:rsidP="00B06FD2">
            <w:r w:rsidRPr="00B06FD2">
              <w:t>Obstructed/prolonged labour</w:t>
            </w:r>
          </w:p>
        </w:tc>
        <w:tc>
          <w:tcPr>
            <w:tcW w:w="2869" w:type="dxa"/>
            <w:gridSpan w:val="3"/>
            <w:hideMark/>
          </w:tcPr>
          <w:p w:rsidR="00B06FD2" w:rsidRPr="00B06FD2" w:rsidRDefault="00B06FD2" w:rsidP="00B06FD2">
            <w:r w:rsidRPr="00B06FD2">
              <w:t>Severe hypertesnion/fits</w:t>
            </w:r>
          </w:p>
        </w:tc>
      </w:tr>
      <w:tr w:rsidR="00B06FD2" w:rsidRPr="00B06FD2" w:rsidTr="00077348">
        <w:trPr>
          <w:trHeight w:val="540"/>
        </w:trPr>
        <w:tc>
          <w:tcPr>
            <w:tcW w:w="1099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12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33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17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38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74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01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924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935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077348">
        <w:trPr>
          <w:trHeight w:val="540"/>
        </w:trPr>
        <w:tc>
          <w:tcPr>
            <w:tcW w:w="109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12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3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17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38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74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1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24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35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077348">
        <w:trPr>
          <w:trHeight w:val="540"/>
        </w:trPr>
        <w:tc>
          <w:tcPr>
            <w:tcW w:w="3244" w:type="dxa"/>
            <w:gridSpan w:val="3"/>
            <w:hideMark/>
          </w:tcPr>
          <w:p w:rsidR="00B06FD2" w:rsidRPr="00B06FD2" w:rsidRDefault="00B06FD2" w:rsidP="00B06FD2">
            <w:r w:rsidRPr="00B06FD2">
              <w:t>Bleeding</w:t>
            </w:r>
          </w:p>
        </w:tc>
        <w:tc>
          <w:tcPr>
            <w:tcW w:w="3129" w:type="dxa"/>
            <w:gridSpan w:val="3"/>
            <w:hideMark/>
          </w:tcPr>
          <w:p w:rsidR="00B06FD2" w:rsidRPr="00B06FD2" w:rsidRDefault="00B06FD2" w:rsidP="00B06FD2">
            <w:r w:rsidRPr="00B06FD2">
              <w:t>High Fever</w:t>
            </w:r>
          </w:p>
        </w:tc>
        <w:tc>
          <w:tcPr>
            <w:tcW w:w="2869" w:type="dxa"/>
            <w:gridSpan w:val="3"/>
            <w:hideMark/>
          </w:tcPr>
          <w:p w:rsidR="00B06FD2" w:rsidRPr="00B06FD2" w:rsidRDefault="00B06FD2" w:rsidP="00B06FD2">
            <w:r w:rsidRPr="00B06FD2">
              <w:t>Other Causes</w:t>
            </w:r>
          </w:p>
        </w:tc>
      </w:tr>
      <w:tr w:rsidR="00B06FD2" w:rsidRPr="00B06FD2" w:rsidTr="00077348">
        <w:trPr>
          <w:trHeight w:val="540"/>
        </w:trPr>
        <w:tc>
          <w:tcPr>
            <w:tcW w:w="1099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12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33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17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38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74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01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924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935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077348">
        <w:trPr>
          <w:trHeight w:val="540"/>
        </w:trPr>
        <w:tc>
          <w:tcPr>
            <w:tcW w:w="1099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12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33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17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38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74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1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24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35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</w:tbl>
    <w:p w:rsidR="00B06FD2" w:rsidRDefault="00B06FD2"/>
    <w:tbl>
      <w:tblPr>
        <w:tblStyle w:val="TableGrid"/>
        <w:tblW w:w="0" w:type="auto"/>
        <w:tblLook w:val="04A0"/>
      </w:tblPr>
      <w:tblGrid>
        <w:gridCol w:w="712"/>
        <w:gridCol w:w="713"/>
        <w:gridCol w:w="919"/>
        <w:gridCol w:w="761"/>
        <w:gridCol w:w="765"/>
        <w:gridCol w:w="738"/>
        <w:gridCol w:w="878"/>
        <w:gridCol w:w="768"/>
        <w:gridCol w:w="643"/>
        <w:gridCol w:w="679"/>
        <w:gridCol w:w="898"/>
        <w:gridCol w:w="768"/>
      </w:tblGrid>
      <w:tr w:rsidR="00B06FD2" w:rsidRPr="00B06FD2" w:rsidTr="00B06FD2">
        <w:trPr>
          <w:trHeight w:val="540"/>
        </w:trPr>
        <w:tc>
          <w:tcPr>
            <w:tcW w:w="12640" w:type="dxa"/>
            <w:gridSpan w:val="12"/>
            <w:hideMark/>
          </w:tcPr>
          <w:p w:rsidR="00B06FD2" w:rsidRPr="00B06FD2" w:rsidRDefault="00B06FD2" w:rsidP="00B06FD2">
            <w:pPr>
              <w:rPr>
                <w:b/>
                <w:bCs/>
              </w:rPr>
            </w:pPr>
            <w:r w:rsidRPr="00B06FD2">
              <w:rPr>
                <w:b/>
                <w:bCs/>
              </w:rPr>
              <w:lastRenderedPageBreak/>
              <w:t>Bihar-Buxar-Causes  of Deaths in 6 to 55yrs age group  - Apr'09 to Mar'10</w:t>
            </w:r>
          </w:p>
        </w:tc>
      </w:tr>
      <w:tr w:rsidR="00B06FD2" w:rsidRPr="00B06FD2" w:rsidTr="00B06FD2">
        <w:trPr>
          <w:trHeight w:val="540"/>
        </w:trPr>
        <w:tc>
          <w:tcPr>
            <w:tcW w:w="4340" w:type="dxa"/>
            <w:gridSpan w:val="4"/>
            <w:hideMark/>
          </w:tcPr>
          <w:p w:rsidR="00B06FD2" w:rsidRPr="00B06FD2" w:rsidRDefault="00B06FD2" w:rsidP="00B06FD2">
            <w:r w:rsidRPr="00B06FD2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B06FD2" w:rsidRPr="00B06FD2" w:rsidRDefault="00B06FD2" w:rsidP="00B06FD2">
            <w:r w:rsidRPr="00B06FD2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B06FD2" w:rsidRPr="00B06FD2" w:rsidRDefault="00B06FD2" w:rsidP="00B06FD2">
            <w:r w:rsidRPr="00B06FD2">
              <w:t>Respiratory Diseases( Other than TB)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B06FD2">
        <w:trPr>
          <w:trHeight w:val="540"/>
        </w:trPr>
        <w:tc>
          <w:tcPr>
            <w:tcW w:w="4340" w:type="dxa"/>
            <w:gridSpan w:val="4"/>
            <w:hideMark/>
          </w:tcPr>
          <w:p w:rsidR="00B06FD2" w:rsidRPr="00B06FD2" w:rsidRDefault="00B06FD2" w:rsidP="00B06FD2">
            <w:r w:rsidRPr="00B06FD2">
              <w:t>Malaria</w:t>
            </w:r>
          </w:p>
        </w:tc>
        <w:tc>
          <w:tcPr>
            <w:tcW w:w="4300" w:type="dxa"/>
            <w:gridSpan w:val="4"/>
            <w:hideMark/>
          </w:tcPr>
          <w:p w:rsidR="00B06FD2" w:rsidRPr="00B06FD2" w:rsidRDefault="00B06FD2" w:rsidP="00B06FD2">
            <w:r w:rsidRPr="00B06FD2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B06FD2" w:rsidRPr="00B06FD2" w:rsidRDefault="00B06FD2" w:rsidP="00B06FD2">
            <w:r w:rsidRPr="00B06FD2">
              <w:t>HIV/Aids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B06FD2">
        <w:trPr>
          <w:trHeight w:val="540"/>
        </w:trPr>
        <w:tc>
          <w:tcPr>
            <w:tcW w:w="4340" w:type="dxa"/>
            <w:gridSpan w:val="4"/>
            <w:hideMark/>
          </w:tcPr>
          <w:p w:rsidR="00B06FD2" w:rsidRPr="00B06FD2" w:rsidRDefault="00B06FD2" w:rsidP="00B06FD2">
            <w:r w:rsidRPr="00B06FD2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B06FD2" w:rsidRPr="00B06FD2" w:rsidRDefault="00B06FD2" w:rsidP="00B06FD2">
            <w:r w:rsidRPr="00B06FD2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B06FD2" w:rsidRPr="00B06FD2" w:rsidRDefault="00B06FD2" w:rsidP="00B06FD2">
            <w:r w:rsidRPr="00B06FD2">
              <w:t>Trauma/Accidents/ Burn Cases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2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</w:tr>
      <w:tr w:rsidR="00B06FD2" w:rsidRPr="00B06FD2" w:rsidTr="00B06FD2">
        <w:trPr>
          <w:trHeight w:val="540"/>
        </w:trPr>
        <w:tc>
          <w:tcPr>
            <w:tcW w:w="4340" w:type="dxa"/>
            <w:gridSpan w:val="4"/>
            <w:hideMark/>
          </w:tcPr>
          <w:p w:rsidR="00B06FD2" w:rsidRPr="00B06FD2" w:rsidRDefault="00B06FD2" w:rsidP="00B06FD2">
            <w:r w:rsidRPr="00B06FD2">
              <w:t>Suicide</w:t>
            </w:r>
          </w:p>
        </w:tc>
        <w:tc>
          <w:tcPr>
            <w:tcW w:w="4300" w:type="dxa"/>
            <w:gridSpan w:val="4"/>
            <w:hideMark/>
          </w:tcPr>
          <w:p w:rsidR="00B06FD2" w:rsidRPr="00B06FD2" w:rsidRDefault="00B06FD2" w:rsidP="00B06FD2">
            <w:r w:rsidRPr="00B06FD2">
              <w:t>Animal Bites &amp; Stings</w:t>
            </w:r>
          </w:p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112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6-14 yrs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15-55 yrs.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Above 55yrs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Total</w:t>
            </w:r>
          </w:p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112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</w:tr>
      <w:tr w:rsidR="00B06FD2" w:rsidRPr="00B06FD2" w:rsidTr="00B06FD2">
        <w:trPr>
          <w:trHeight w:val="540"/>
        </w:trPr>
        <w:tc>
          <w:tcPr>
            <w:tcW w:w="11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940" w:type="dxa"/>
            <w:hideMark/>
          </w:tcPr>
          <w:p w:rsidR="00B06FD2" w:rsidRPr="00B06FD2" w:rsidRDefault="00B06FD2" w:rsidP="00B06FD2">
            <w:r w:rsidRPr="00B06FD2">
              <w:t>0</w:t>
            </w:r>
          </w:p>
        </w:tc>
        <w:tc>
          <w:tcPr>
            <w:tcW w:w="1180" w:type="dxa"/>
            <w:hideMark/>
          </w:tcPr>
          <w:p w:rsidR="00B06FD2" w:rsidRPr="00B06FD2" w:rsidRDefault="00B06FD2" w:rsidP="00B06FD2">
            <w:r w:rsidRPr="00B06FD2">
              <w:t>592</w:t>
            </w:r>
          </w:p>
        </w:tc>
        <w:tc>
          <w:tcPr>
            <w:tcW w:w="1100" w:type="dxa"/>
            <w:hideMark/>
          </w:tcPr>
          <w:p w:rsidR="00B06FD2" w:rsidRPr="00B06FD2" w:rsidRDefault="00B06FD2" w:rsidP="00B06FD2">
            <w:r w:rsidRPr="00B06FD2">
              <w:t>592</w:t>
            </w:r>
          </w:p>
        </w:tc>
        <w:tc>
          <w:tcPr>
            <w:tcW w:w="1060" w:type="dxa"/>
            <w:hideMark/>
          </w:tcPr>
          <w:p w:rsidR="00B06FD2" w:rsidRPr="00B06FD2" w:rsidRDefault="00B06FD2" w:rsidP="00B06FD2">
            <w:r w:rsidRPr="00B06FD2">
              <w:t>48</w:t>
            </w:r>
          </w:p>
        </w:tc>
        <w:tc>
          <w:tcPr>
            <w:tcW w:w="960" w:type="dxa"/>
            <w:hideMark/>
          </w:tcPr>
          <w:p w:rsidR="00B06FD2" w:rsidRPr="00B06FD2" w:rsidRDefault="00B06FD2" w:rsidP="00B06FD2">
            <w:r w:rsidRPr="00B06FD2">
              <w:t>1232</w:t>
            </w:r>
          </w:p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  <w:tc>
          <w:tcPr>
            <w:tcW w:w="1120" w:type="dxa"/>
            <w:hideMark/>
          </w:tcPr>
          <w:p w:rsidR="00B06FD2" w:rsidRPr="00B06FD2" w:rsidRDefault="00B06FD2"/>
        </w:tc>
        <w:tc>
          <w:tcPr>
            <w:tcW w:w="960" w:type="dxa"/>
            <w:hideMark/>
          </w:tcPr>
          <w:p w:rsidR="00B06FD2" w:rsidRPr="00B06FD2" w:rsidRDefault="00B06FD2"/>
        </w:tc>
      </w:tr>
    </w:tbl>
    <w:p w:rsidR="00B06FD2" w:rsidRDefault="00B06FD2"/>
    <w:sectPr w:rsidR="00B06FD2" w:rsidSect="00C04920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80" w:rsidRDefault="00EA7780" w:rsidP="003879B1">
      <w:pPr>
        <w:spacing w:after="0" w:line="240" w:lineRule="auto"/>
      </w:pPr>
      <w:r>
        <w:separator/>
      </w:r>
    </w:p>
  </w:endnote>
  <w:endnote w:type="continuationSeparator" w:id="0">
    <w:p w:rsidR="00EA7780" w:rsidRDefault="00EA7780" w:rsidP="0038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5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4920" w:rsidRDefault="00C04920">
            <w:pPr>
              <w:pStyle w:val="Footer"/>
              <w:jc w:val="center"/>
            </w:pPr>
            <w:r>
              <w:t xml:space="preserve">Page </w:t>
            </w:r>
            <w:r w:rsidR="00213E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3EE2">
              <w:rPr>
                <w:b/>
                <w:sz w:val="24"/>
                <w:szCs w:val="24"/>
              </w:rPr>
              <w:fldChar w:fldCharType="separate"/>
            </w:r>
            <w:r w:rsidR="0051042E">
              <w:rPr>
                <w:b/>
                <w:noProof/>
              </w:rPr>
              <w:t>4</w:t>
            </w:r>
            <w:r w:rsidR="00213E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3E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3EE2">
              <w:rPr>
                <w:b/>
                <w:sz w:val="24"/>
                <w:szCs w:val="24"/>
              </w:rPr>
              <w:fldChar w:fldCharType="separate"/>
            </w:r>
            <w:r w:rsidR="0051042E">
              <w:rPr>
                <w:b/>
                <w:noProof/>
              </w:rPr>
              <w:t>12</w:t>
            </w:r>
            <w:r w:rsidR="00213E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79B1" w:rsidRDefault="003879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80" w:rsidRDefault="00EA7780" w:rsidP="003879B1">
      <w:pPr>
        <w:spacing w:after="0" w:line="240" w:lineRule="auto"/>
      </w:pPr>
      <w:r>
        <w:separator/>
      </w:r>
    </w:p>
  </w:footnote>
  <w:footnote w:type="continuationSeparator" w:id="0">
    <w:p w:rsidR="00EA7780" w:rsidRDefault="00EA7780" w:rsidP="0038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B1" w:rsidRDefault="003879B1">
    <w:pPr>
      <w:pStyle w:val="Header"/>
    </w:pPr>
    <w:r>
      <w:t>Bihar-Buxar 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6654"/>
    <w:rsid w:val="00077348"/>
    <w:rsid w:val="000C6488"/>
    <w:rsid w:val="001D414C"/>
    <w:rsid w:val="00213EE2"/>
    <w:rsid w:val="002D6654"/>
    <w:rsid w:val="00301BDA"/>
    <w:rsid w:val="003879B1"/>
    <w:rsid w:val="004723A5"/>
    <w:rsid w:val="0051042E"/>
    <w:rsid w:val="006F4145"/>
    <w:rsid w:val="00833E4B"/>
    <w:rsid w:val="009B4733"/>
    <w:rsid w:val="00A66E4B"/>
    <w:rsid w:val="00B06FD2"/>
    <w:rsid w:val="00C04920"/>
    <w:rsid w:val="00CE6DC7"/>
    <w:rsid w:val="00DB0D71"/>
    <w:rsid w:val="00EA7780"/>
    <w:rsid w:val="00F7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9B1"/>
  </w:style>
  <w:style w:type="paragraph" w:styleId="Footer">
    <w:name w:val="footer"/>
    <w:basedOn w:val="Normal"/>
    <w:link w:val="FooterChar"/>
    <w:uiPriority w:val="99"/>
    <w:unhideWhenUsed/>
    <w:rsid w:val="0038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9B1"/>
  </w:style>
  <w:style w:type="paragraph" w:styleId="NoSpacing">
    <w:name w:val="No Spacing"/>
    <w:link w:val="NoSpacingChar"/>
    <w:uiPriority w:val="1"/>
    <w:qFormat/>
    <w:rsid w:val="00C04920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492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bux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2"/>
          <c:y val="0.28711079296906405"/>
          <c:w val="0.59930686789151055"/>
          <c:h val="0.55127296587925878"/>
        </c:manualLayout>
      </c:layout>
      <c:pie3DChart>
        <c:varyColors val="1"/>
        <c:ser>
          <c:idx val="0"/>
          <c:order val="0"/>
          <c:tx>
            <c:strRef>
              <c:f>buxar!$AI$36</c:f>
              <c:strCache>
                <c:ptCount val="1"/>
                <c:pt idx="0">
                  <c:v>Bihar-Buxar-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buxar!$AJ$36:$AM$36</c:f>
              <c:numCache>
                <c:formatCode>0%</c:formatCode>
                <c:ptCount val="4"/>
                <c:pt idx="0">
                  <c:v>7.75055527421148E-3</c:v>
                </c:pt>
                <c:pt idx="1">
                  <c:v>5.2761035903603395E-3</c:v>
                </c:pt>
                <c:pt idx="2">
                  <c:v>0.14486789858183183</c:v>
                </c:pt>
                <c:pt idx="3">
                  <c:v>0.84210544255359976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buxar!$AK$153</c:f>
              <c:strCache>
                <c:ptCount val="1"/>
                <c:pt idx="0">
                  <c:v>Bihar-Buxar-Births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buxar!$AK$154:$AK$158</c:f>
              <c:numCache>
                <c:formatCode>_(* #,##0_);_(* \(#,##0\);_(* "-"??_);_(@_)</c:formatCode>
                <c:ptCount val="5"/>
                <c:pt idx="0">
                  <c:v>47436.312000000013</c:v>
                </c:pt>
                <c:pt idx="1">
                  <c:v>12653</c:v>
                </c:pt>
                <c:pt idx="2">
                  <c:v>7654</c:v>
                </c:pt>
                <c:pt idx="3">
                  <c:v>2292</c:v>
                </c:pt>
                <c:pt idx="4">
                  <c:v>2726</c:v>
                </c:pt>
              </c:numCache>
            </c:numRef>
          </c:val>
        </c:ser>
        <c:dLbls>
          <c:showVal val="1"/>
        </c:dLbls>
        <c:axId val="145400960"/>
        <c:axId val="145402496"/>
      </c:barChart>
      <c:catAx>
        <c:axId val="145400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402496"/>
        <c:crosses val="autoZero"/>
        <c:auto val="1"/>
        <c:lblAlgn val="ctr"/>
        <c:lblOffset val="100"/>
      </c:catAx>
      <c:valAx>
        <c:axId val="1454024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400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buxar!$AI$182</c:f>
              <c:strCache>
                <c:ptCount val="1"/>
                <c:pt idx="0">
                  <c:v>Bihar-Buxar-Immunisation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buxar!$AJ$182:$AL$182</c:f>
              <c:numCache>
                <c:formatCode>[$-1010409]General</c:formatCode>
                <c:ptCount val="3"/>
                <c:pt idx="0">
                  <c:v>22767</c:v>
                </c:pt>
                <c:pt idx="1">
                  <c:v>22626</c:v>
                </c:pt>
                <c:pt idx="2">
                  <c:v>18449</c:v>
                </c:pt>
              </c:numCache>
            </c:numRef>
          </c:val>
        </c:ser>
        <c:dLbls>
          <c:showVal val="1"/>
        </c:dLbls>
        <c:axId val="146409728"/>
        <c:axId val="146419712"/>
      </c:barChart>
      <c:catAx>
        <c:axId val="146409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419712"/>
        <c:crosses val="autoZero"/>
        <c:auto val="1"/>
        <c:lblAlgn val="ctr"/>
        <c:lblOffset val="100"/>
      </c:catAx>
      <c:valAx>
        <c:axId val="14641971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409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buxar!$AS$167</c:f>
              <c:strCache>
                <c:ptCount val="1"/>
                <c:pt idx="0">
                  <c:v>Bihar-Buxar-Immunisation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buxar!$AS$168:$AS$172</c:f>
              <c:numCache>
                <c:formatCode>0%</c:formatCode>
                <c:ptCount val="5"/>
                <c:pt idx="0">
                  <c:v>0.75556042383733357</c:v>
                </c:pt>
                <c:pt idx="1">
                  <c:v>0.77621970274586272</c:v>
                </c:pt>
                <c:pt idx="2">
                  <c:v>0.75286206904111752</c:v>
                </c:pt>
                <c:pt idx="3">
                  <c:v>0.69181179177672958</c:v>
                </c:pt>
                <c:pt idx="4">
                  <c:v>0.77777968911242623</c:v>
                </c:pt>
              </c:numCache>
            </c:numRef>
          </c:val>
        </c:ser>
        <c:axId val="146431360"/>
        <c:axId val="146445440"/>
      </c:barChart>
      <c:catAx>
        <c:axId val="1464313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445440"/>
        <c:crosses val="autoZero"/>
        <c:auto val="1"/>
        <c:lblAlgn val="ctr"/>
        <c:lblOffset val="100"/>
      </c:catAx>
      <c:valAx>
        <c:axId val="1464454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4313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buxar!$AI$127</c:f>
              <c:strCache>
                <c:ptCount val="1"/>
                <c:pt idx="0">
                  <c:v>Bihar-Buxar-Abortions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23509415831217859"/>
                  <c:y val="4.554827010260082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buxar!$AJ$127:$AL$127</c:f>
              <c:numCache>
                <c:formatCode>0%</c:formatCode>
                <c:ptCount val="3"/>
                <c:pt idx="0">
                  <c:v>0.57500000000000062</c:v>
                </c:pt>
                <c:pt idx="1">
                  <c:v>0.17500000000000004</c:v>
                </c:pt>
                <c:pt idx="2">
                  <c:v>0.25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buxar!$AI$198</c:f>
              <c:strCache>
                <c:ptCount val="1"/>
                <c:pt idx="0">
                  <c:v>Bihar-Buxar-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buxar!$AJ$198:$AK$198</c:f>
              <c:numCache>
                <c:formatCode>0%</c:formatCode>
                <c:ptCount val="2"/>
                <c:pt idx="0">
                  <c:v>0.54700854700854762</c:v>
                </c:pt>
                <c:pt idx="1">
                  <c:v>0.45299145299145299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83"/>
          <c:y val="0.23661971830985915"/>
          <c:w val="0.62582781456954495"/>
          <c:h val="0.66478873239437319"/>
        </c:manualLayout>
      </c:layout>
      <c:pie3DChart>
        <c:varyColors val="1"/>
        <c:ser>
          <c:idx val="0"/>
          <c:order val="0"/>
          <c:tx>
            <c:strRef>
              <c:f>buxar!$AI$45</c:f>
              <c:strCache>
                <c:ptCount val="1"/>
                <c:pt idx="0">
                  <c:v>Bihar-Buxar-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1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buxar!$AJ$45:$AL$45</c:f>
              <c:numCache>
                <c:formatCode>0%</c:formatCode>
                <c:ptCount val="3"/>
                <c:pt idx="0">
                  <c:v>4.9086905841212468E-2</c:v>
                </c:pt>
                <c:pt idx="1">
                  <c:v>3.341536070457201E-2</c:v>
                </c:pt>
                <c:pt idx="2">
                  <c:v>0.91749773345421581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buxar!$AI$58</c:f>
              <c:strCache>
                <c:ptCount val="1"/>
                <c:pt idx="0">
                  <c:v>Bihar-Buxar-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buxar!$AJ$58:$AL$58</c:f>
              <c:numCache>
                <c:formatCode>0.0%</c:formatCode>
                <c:ptCount val="3"/>
                <c:pt idx="0">
                  <c:v>0.12083568605307748</c:v>
                </c:pt>
                <c:pt idx="1">
                  <c:v>1.2704686617730128E-3</c:v>
                </c:pt>
                <c:pt idx="2">
                  <c:v>0.8778938452851508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buxar!$AI$76</c:f>
              <c:strCache>
                <c:ptCount val="1"/>
                <c:pt idx="0">
                  <c:v>Bihar-Buxar-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buxar!$AJ$75:$AK$75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buxar!$AJ$76:$AK$76</c:f>
              <c:numCache>
                <c:formatCode>0%</c:formatCode>
                <c:ptCount val="2"/>
                <c:pt idx="0">
                  <c:v>0.88128176171654293</c:v>
                </c:pt>
                <c:pt idx="1">
                  <c:v>0.11871823828345569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buxar!$AI$88</c:f>
              <c:strCache>
                <c:ptCount val="1"/>
                <c:pt idx="0">
                  <c:v>Bihar-Buxar-Deliveries - Expected, Reported &amp; Extrapolated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buxar!$AJ$87:$AL$87</c:f>
              <c:strCache>
                <c:ptCount val="3"/>
                <c:pt idx="0">
                  <c:v>Expected Deliveries - Apr'09 to Mar'10</c:v>
                </c:pt>
                <c:pt idx="1">
                  <c:v> Total Deliveries Reported Apr'09 to Mar'10</c:v>
                </c:pt>
                <c:pt idx="2">
                  <c:v>Total Deliveries Extrapolated Apr'09 to Mar'10</c:v>
                </c:pt>
              </c:strCache>
            </c:strRef>
          </c:cat>
          <c:val>
            <c:numRef>
              <c:f>buxar!$AJ$88:$AL$88</c:f>
              <c:numCache>
                <c:formatCode>_(* #,##0_);_(* \(#,##0\);_(* "-"??_);_(@_)</c:formatCode>
                <c:ptCount val="3"/>
                <c:pt idx="0">
                  <c:v>48899.722225199999</c:v>
                </c:pt>
                <c:pt idx="1">
                  <c:v>7721</c:v>
                </c:pt>
                <c:pt idx="2">
                  <c:v>7721</c:v>
                </c:pt>
              </c:numCache>
            </c:numRef>
          </c:val>
        </c:ser>
        <c:dLbls>
          <c:showVal val="1"/>
        </c:dLbls>
        <c:axId val="109347584"/>
        <c:axId val="109360640"/>
      </c:barChart>
      <c:catAx>
        <c:axId val="1093475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360640"/>
        <c:crosses val="autoZero"/>
        <c:auto val="1"/>
        <c:lblAlgn val="ctr"/>
        <c:lblOffset val="100"/>
      </c:catAx>
      <c:valAx>
        <c:axId val="10936064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347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8.8824689167375265E-2"/>
          <c:y val="0"/>
        </c:manualLayout>
      </c:layout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buxar!$AI$102</c:f>
              <c:strCache>
                <c:ptCount val="1"/>
                <c:pt idx="0">
                  <c:v>Bihar-Buxar-Pregnancies - Expected, Reported &amp; Extrapolated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buxar!$AJ$101:$AL$101</c:f>
              <c:strCache>
                <c:ptCount val="3"/>
                <c:pt idx="0">
                  <c:v>Estimated Pregnancies - Apr'09 to Mar'10</c:v>
                </c:pt>
                <c:pt idx="1">
                  <c:v> Pregnant women Registered for ANC  Apr'09 to Mar'10</c:v>
                </c:pt>
                <c:pt idx="2">
                  <c:v>Extrapolated Apr'09 to Mar'10</c:v>
                </c:pt>
              </c:strCache>
            </c:strRef>
          </c:cat>
          <c:val>
            <c:numRef>
              <c:f>buxar!$AJ$102:$AL$102</c:f>
              <c:numCache>
                <c:formatCode>_(* #,##0_);_(* \(#,##0\);_(* "-"??_);_(@_)</c:formatCode>
                <c:ptCount val="3"/>
                <c:pt idx="0">
                  <c:v>52179.943200000002</c:v>
                </c:pt>
                <c:pt idx="1">
                  <c:v>10428</c:v>
                </c:pt>
                <c:pt idx="2">
                  <c:v>10428</c:v>
                </c:pt>
              </c:numCache>
            </c:numRef>
          </c:val>
        </c:ser>
        <c:dLbls>
          <c:showVal val="1"/>
        </c:dLbls>
        <c:axId val="145167104"/>
        <c:axId val="145168640"/>
      </c:barChart>
      <c:catAx>
        <c:axId val="14516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168640"/>
        <c:crosses val="autoZero"/>
        <c:auto val="1"/>
        <c:lblAlgn val="ctr"/>
        <c:lblOffset val="100"/>
      </c:catAx>
      <c:valAx>
        <c:axId val="1451686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16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buxar!$AS$97</c:f>
              <c:strCache>
                <c:ptCount val="1"/>
                <c:pt idx="0">
                  <c:v>Bihar-Buxar-ANC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buxar!$AS$98:$AS$105</c:f>
              <c:numCache>
                <c:formatCode>[$-1010409]General</c:formatCode>
                <c:ptCount val="8"/>
                <c:pt idx="0" formatCode="_(* #,##0_);_(* \(#,##0\);_(* &quot;-&quot;??_);_(@_)">
                  <c:v>52179.943200000002</c:v>
                </c:pt>
                <c:pt idx="1">
                  <c:v>10428</c:v>
                </c:pt>
                <c:pt idx="2">
                  <c:v>5663</c:v>
                </c:pt>
                <c:pt idx="3">
                  <c:v>13916</c:v>
                </c:pt>
                <c:pt idx="4">
                  <c:v>11983</c:v>
                </c:pt>
                <c:pt idx="5">
                  <c:v>49708</c:v>
                </c:pt>
                <c:pt idx="6">
                  <c:v>48257</c:v>
                </c:pt>
                <c:pt idx="7">
                  <c:v>116595</c:v>
                </c:pt>
              </c:numCache>
            </c:numRef>
          </c:val>
        </c:ser>
        <c:dLbls>
          <c:showVal val="1"/>
        </c:dLbls>
        <c:axId val="145342848"/>
        <c:axId val="145344384"/>
      </c:barChart>
      <c:catAx>
        <c:axId val="145342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44384"/>
        <c:crosses val="autoZero"/>
        <c:auto val="1"/>
        <c:lblAlgn val="ctr"/>
        <c:lblOffset val="100"/>
      </c:catAx>
      <c:valAx>
        <c:axId val="1453443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42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buxar!$AK$118</c:f>
              <c:strCache>
                <c:ptCount val="1"/>
                <c:pt idx="0">
                  <c:v>Bihar-Buxar-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buxar!$AJ$119:$AJ$122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buxar!$AK$119:$AK$122</c:f>
              <c:numCache>
                <c:formatCode>0.0%</c:formatCode>
                <c:ptCount val="4"/>
                <c:pt idx="0">
                  <c:v>0.25469888761028031</c:v>
                </c:pt>
                <c:pt idx="1">
                  <c:v>1.9179133103183765E-4</c:v>
                </c:pt>
                <c:pt idx="2">
                  <c:v>0.1386651323360184</c:v>
                </c:pt>
                <c:pt idx="3">
                  <c:v>0.12658227848101269</c:v>
                </c:pt>
              </c:numCache>
            </c:numRef>
          </c:val>
        </c:ser>
        <c:dLbls>
          <c:showVal val="1"/>
        </c:dLbls>
        <c:axId val="145304192"/>
        <c:axId val="145310080"/>
      </c:barChart>
      <c:catAx>
        <c:axId val="1453041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10080"/>
        <c:crosses val="autoZero"/>
        <c:auto val="1"/>
        <c:lblAlgn val="ctr"/>
        <c:lblOffset val="100"/>
      </c:catAx>
      <c:valAx>
        <c:axId val="14531008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04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buxar!$AI$137</c:f>
              <c:strCache>
                <c:ptCount val="1"/>
                <c:pt idx="0">
                  <c:v>Bihar-Buxar-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buxar!$AJ$136:$AK$136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buxar!$AJ$137:$AK$137</c:f>
              <c:numCache>
                <c:formatCode>0%</c:formatCode>
                <c:ptCount val="2"/>
                <c:pt idx="0">
                  <c:v>0.21771791218754094</c:v>
                </c:pt>
                <c:pt idx="1">
                  <c:v>6.3333765056339933E-2</c:v>
                </c:pt>
              </c:numCache>
            </c:numRef>
          </c:val>
        </c:ser>
        <c:gapWidth val="100"/>
        <c:axId val="145371136"/>
        <c:axId val="145372672"/>
      </c:barChart>
      <c:catAx>
        <c:axId val="1453711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72672"/>
        <c:crosses val="autoZero"/>
        <c:auto val="1"/>
        <c:lblAlgn val="ctr"/>
        <c:lblOffset val="100"/>
      </c:catAx>
      <c:valAx>
        <c:axId val="1453726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37113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186E4D5E244B69B75D7AF48AAE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89D2-E8FD-4CCE-B1DE-1FB5F13A41FC}"/>
      </w:docPartPr>
      <w:docPartBody>
        <w:p w:rsidR="00B46107" w:rsidRDefault="007878FC" w:rsidP="007878FC">
          <w:pPr>
            <w:pStyle w:val="AD186E4D5E244B69B75D7AF48AAE286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B3A5F369A766423EA7213368DA2E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A8C5-40C7-48FA-82D9-BCE0B2C456A3}"/>
      </w:docPartPr>
      <w:docPartBody>
        <w:p w:rsidR="00B46107" w:rsidRDefault="007878FC" w:rsidP="007878FC">
          <w:pPr>
            <w:pStyle w:val="B3A5F369A766423EA7213368DA2EB80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878FC"/>
    <w:rsid w:val="007878FC"/>
    <w:rsid w:val="008E297B"/>
    <w:rsid w:val="00994CE6"/>
    <w:rsid w:val="00B4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86E4D5E244B69B75D7AF48AAE2861">
    <w:name w:val="AD186E4D5E244B69B75D7AF48AAE2861"/>
    <w:rsid w:val="007878FC"/>
  </w:style>
  <w:style w:type="paragraph" w:customStyle="1" w:styleId="B3A5F369A766423EA7213368DA2EB80A">
    <w:name w:val="B3A5F369A766423EA7213368DA2EB80A"/>
    <w:rsid w:val="007878FC"/>
  </w:style>
  <w:style w:type="paragraph" w:customStyle="1" w:styleId="2504402090E041C8997151459843B262">
    <w:name w:val="2504402090E041C8997151459843B262"/>
    <w:rsid w:val="007878FC"/>
  </w:style>
  <w:style w:type="paragraph" w:customStyle="1" w:styleId="8721677856684EC9987A26769592FBD4">
    <w:name w:val="8721677856684EC9987A26769592FBD4"/>
    <w:rsid w:val="007878FC"/>
  </w:style>
  <w:style w:type="paragraph" w:customStyle="1" w:styleId="1091A45542DA4556A2631BECF7B72986">
    <w:name w:val="1091A45542DA4556A2631BECF7B72986"/>
    <w:rsid w:val="007878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Bihar-Buxar</dc:title>
  <dc:subject>HMIS DATA ANALYSIS 2009-10</dc:subject>
  <dc:creator>KUNAL</dc:creator>
  <cp:keywords/>
  <dc:description/>
  <cp:lastModifiedBy>SANDHYA</cp:lastModifiedBy>
  <cp:revision>8</cp:revision>
  <dcterms:created xsi:type="dcterms:W3CDTF">2010-08-10T02:50:00Z</dcterms:created>
  <dcterms:modified xsi:type="dcterms:W3CDTF">2010-08-30T06:28:00Z</dcterms:modified>
</cp:coreProperties>
</file>